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567F1913" w:rsidR="008A05A4" w:rsidRDefault="00FF0DF9" w:rsidP="008A05A4">
      <w:pPr>
        <w:jc w:val="center"/>
        <w:rPr>
          <w:sz w:val="22"/>
          <w:szCs w:val="22"/>
        </w:rPr>
      </w:pPr>
      <w:r>
        <w:rPr>
          <w:noProof/>
          <w:sz w:val="22"/>
          <w:szCs w:val="22"/>
        </w:rPr>
        <w:drawing>
          <wp:inline distT="0" distB="0" distL="0" distR="0" wp14:anchorId="6E048749" wp14:editId="4AC3D995">
            <wp:extent cx="5480685" cy="817245"/>
            <wp:effectExtent l="0" t="0" r="5715" b="1905"/>
            <wp:docPr id="210068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6CE57E0C" w14:textId="77777777" w:rsidR="00344660" w:rsidRDefault="00344660" w:rsidP="00C75C14">
      <w:pPr>
        <w:rPr>
          <w:b/>
          <w:bCs/>
          <w:sz w:val="22"/>
          <w:szCs w:val="22"/>
        </w:rPr>
      </w:pPr>
      <w:r>
        <w:rPr>
          <w:b/>
          <w:bCs/>
          <w:sz w:val="22"/>
          <w:szCs w:val="22"/>
        </w:rPr>
        <w:t xml:space="preserve">January 2026 MAP guidance notes </w:t>
      </w:r>
    </w:p>
    <w:p w14:paraId="0D8B437B" w14:textId="77777777" w:rsidR="00344660" w:rsidRDefault="00344660" w:rsidP="00C75C14">
      <w:pPr>
        <w:rPr>
          <w:b/>
          <w:bCs/>
          <w:sz w:val="22"/>
          <w:szCs w:val="22"/>
        </w:rPr>
      </w:pPr>
    </w:p>
    <w:p w14:paraId="4069095D" w14:textId="2356ED1D" w:rsidR="0084654A" w:rsidRPr="0084654A" w:rsidRDefault="0084654A" w:rsidP="0084654A">
      <w:pPr>
        <w:rPr>
          <w:b/>
          <w:bCs/>
          <w:sz w:val="22"/>
          <w:szCs w:val="22"/>
        </w:rPr>
      </w:pPr>
      <w:r w:rsidRPr="0084654A">
        <w:rPr>
          <w:b/>
          <w:bCs/>
          <w:sz w:val="22"/>
          <w:szCs w:val="22"/>
        </w:rPr>
        <w:t>F</w:t>
      </w:r>
      <w:r w:rsidR="001820CA">
        <w:rPr>
          <w:b/>
          <w:bCs/>
          <w:sz w:val="22"/>
          <w:szCs w:val="22"/>
        </w:rPr>
        <w:t xml:space="preserve">or a MAP </w:t>
      </w:r>
      <w:r w:rsidRPr="0084654A">
        <w:rPr>
          <w:b/>
          <w:bCs/>
          <w:sz w:val="22"/>
          <w:szCs w:val="22"/>
        </w:rPr>
        <w:t xml:space="preserve">- major accident plan, </w:t>
      </w:r>
      <w:r w:rsidR="001820CA">
        <w:rPr>
          <w:b/>
          <w:bCs/>
          <w:sz w:val="22"/>
          <w:szCs w:val="22"/>
        </w:rPr>
        <w:t>there is  a requirement</w:t>
      </w:r>
      <w:r w:rsidR="00D02727">
        <w:rPr>
          <w:b/>
          <w:bCs/>
          <w:sz w:val="22"/>
          <w:szCs w:val="22"/>
        </w:rPr>
        <w:t xml:space="preserve"> to provide a </w:t>
      </w:r>
      <w:r w:rsidRPr="0084654A">
        <w:rPr>
          <w:b/>
          <w:bCs/>
          <w:sz w:val="22"/>
          <w:szCs w:val="22"/>
        </w:rPr>
        <w:t xml:space="preserve">very comprehensive risk assessment, which must identify ALL of the Major appropriate risks, these are over and above daily risks - such as working with small quantities of flammable liquids or corrosives. </w:t>
      </w:r>
    </w:p>
    <w:p w14:paraId="18990F60" w14:textId="77777777" w:rsidR="0084654A" w:rsidRPr="0084654A" w:rsidRDefault="0084654A" w:rsidP="0084654A">
      <w:pPr>
        <w:rPr>
          <w:b/>
          <w:bCs/>
          <w:sz w:val="22"/>
          <w:szCs w:val="22"/>
        </w:rPr>
      </w:pPr>
    </w:p>
    <w:p w14:paraId="5ABF27C3" w14:textId="77777777" w:rsidR="00521D96" w:rsidRDefault="00D02727" w:rsidP="0084654A">
      <w:pPr>
        <w:rPr>
          <w:b/>
          <w:bCs/>
          <w:sz w:val="22"/>
          <w:szCs w:val="22"/>
        </w:rPr>
      </w:pPr>
      <w:r>
        <w:rPr>
          <w:b/>
          <w:bCs/>
          <w:sz w:val="22"/>
          <w:szCs w:val="22"/>
        </w:rPr>
        <w:t xml:space="preserve">Whilst this mainly relates to COMAH sites </w:t>
      </w:r>
      <w:r w:rsidR="00521D96">
        <w:rPr>
          <w:b/>
          <w:bCs/>
          <w:sz w:val="22"/>
          <w:szCs w:val="22"/>
        </w:rPr>
        <w:t xml:space="preserve">is can also apply to other premises in respect of their activities and thus needs to be considered depending on these activities, storage and an appreciation of Dsear and COSHH. </w:t>
      </w:r>
    </w:p>
    <w:p w14:paraId="331B5571" w14:textId="77777777" w:rsidR="00521D96" w:rsidRDefault="00521D96" w:rsidP="0084654A">
      <w:pPr>
        <w:rPr>
          <w:b/>
          <w:bCs/>
          <w:sz w:val="22"/>
          <w:szCs w:val="22"/>
        </w:rPr>
      </w:pPr>
    </w:p>
    <w:p w14:paraId="42EFA081" w14:textId="7E0D7FFF" w:rsidR="0084654A" w:rsidRPr="0084654A" w:rsidRDefault="0084654A" w:rsidP="0084654A">
      <w:pPr>
        <w:rPr>
          <w:b/>
          <w:bCs/>
          <w:sz w:val="22"/>
          <w:szCs w:val="22"/>
        </w:rPr>
      </w:pPr>
      <w:r w:rsidRPr="0084654A">
        <w:rPr>
          <w:b/>
          <w:bCs/>
          <w:sz w:val="22"/>
          <w:szCs w:val="22"/>
        </w:rPr>
        <w:t xml:space="preserve">But this relates </w:t>
      </w:r>
      <w:r w:rsidR="00521D96">
        <w:rPr>
          <w:b/>
          <w:bCs/>
          <w:sz w:val="22"/>
          <w:szCs w:val="22"/>
        </w:rPr>
        <w:t xml:space="preserve">in the main </w:t>
      </w:r>
      <w:r w:rsidRPr="0084654A">
        <w:rPr>
          <w:b/>
          <w:bCs/>
          <w:sz w:val="22"/>
          <w:szCs w:val="22"/>
        </w:rPr>
        <w:t>to COMAH.  Certainly a school could scale this down, but the principles would remain unchanged.</w:t>
      </w:r>
    </w:p>
    <w:p w14:paraId="7557A6A3" w14:textId="77777777" w:rsidR="00521D96" w:rsidRDefault="00521D96" w:rsidP="0084654A">
      <w:pPr>
        <w:rPr>
          <w:b/>
          <w:bCs/>
          <w:sz w:val="22"/>
          <w:szCs w:val="22"/>
        </w:rPr>
      </w:pPr>
    </w:p>
    <w:p w14:paraId="371E8BC9" w14:textId="77777777" w:rsidR="00C26CA5" w:rsidRDefault="00C26CA5" w:rsidP="0084654A">
      <w:pPr>
        <w:rPr>
          <w:b/>
          <w:bCs/>
          <w:sz w:val="22"/>
          <w:szCs w:val="22"/>
        </w:rPr>
      </w:pPr>
      <w:r>
        <w:rPr>
          <w:b/>
          <w:bCs/>
          <w:sz w:val="22"/>
          <w:szCs w:val="22"/>
        </w:rPr>
        <w:t xml:space="preserve">The client must </w:t>
      </w:r>
      <w:r w:rsidR="0084654A" w:rsidRPr="0084654A">
        <w:rPr>
          <w:b/>
          <w:bCs/>
          <w:sz w:val="22"/>
          <w:szCs w:val="22"/>
        </w:rPr>
        <w:t xml:space="preserve">take all the measures necessary </w:t>
      </w:r>
      <w:r>
        <w:rPr>
          <w:b/>
          <w:bCs/>
          <w:sz w:val="22"/>
          <w:szCs w:val="22"/>
        </w:rPr>
        <w:t xml:space="preserve">in conjunction with, potentially, </w:t>
      </w:r>
      <w:r w:rsidR="0084654A" w:rsidRPr="0084654A">
        <w:rPr>
          <w:b/>
          <w:bCs/>
          <w:sz w:val="22"/>
          <w:szCs w:val="22"/>
        </w:rPr>
        <w:t>the competent authority</w:t>
      </w:r>
      <w:r>
        <w:rPr>
          <w:b/>
          <w:bCs/>
          <w:sz w:val="22"/>
          <w:szCs w:val="22"/>
        </w:rPr>
        <w:t xml:space="preserve"> and HSE to </w:t>
      </w:r>
      <w:r w:rsidR="0084654A" w:rsidRPr="0084654A">
        <w:rPr>
          <w:b/>
          <w:bCs/>
          <w:sz w:val="22"/>
          <w:szCs w:val="22"/>
        </w:rPr>
        <w:t xml:space="preserve">demonstrate that you have done so. </w:t>
      </w:r>
    </w:p>
    <w:p w14:paraId="60EC7ED8" w14:textId="77777777" w:rsidR="00C26CA5" w:rsidRDefault="00C26CA5" w:rsidP="0084654A">
      <w:pPr>
        <w:rPr>
          <w:b/>
          <w:bCs/>
          <w:sz w:val="22"/>
          <w:szCs w:val="22"/>
        </w:rPr>
      </w:pPr>
    </w:p>
    <w:p w14:paraId="5B3D5764" w14:textId="77777777" w:rsidR="00944266" w:rsidRDefault="0084654A" w:rsidP="0084654A">
      <w:pPr>
        <w:rPr>
          <w:b/>
          <w:bCs/>
          <w:sz w:val="22"/>
          <w:szCs w:val="22"/>
        </w:rPr>
      </w:pPr>
      <w:r w:rsidRPr="0084654A">
        <w:rPr>
          <w:b/>
          <w:bCs/>
          <w:sz w:val="22"/>
          <w:szCs w:val="22"/>
        </w:rPr>
        <w:t xml:space="preserve">The findings of a risk assessment carried out to comply with regulation 5(1) (as well as the general regulation 3 requirement for risk assessment of the Management of Health and Safety at Work Regulations 1999 (MHSWR), and similar requirements in environmental legislation), together with the appropriate preventative and mitigation measures will usually provide sufficient evidence to demonstrate safe operation. </w:t>
      </w:r>
    </w:p>
    <w:p w14:paraId="6F7D1792" w14:textId="77777777" w:rsidR="00944266" w:rsidRDefault="00944266" w:rsidP="0084654A">
      <w:pPr>
        <w:rPr>
          <w:b/>
          <w:bCs/>
          <w:sz w:val="22"/>
          <w:szCs w:val="22"/>
        </w:rPr>
      </w:pPr>
    </w:p>
    <w:p w14:paraId="3100A0C5" w14:textId="77777777" w:rsidR="00944266" w:rsidRDefault="0084654A" w:rsidP="0084654A">
      <w:pPr>
        <w:rPr>
          <w:b/>
          <w:bCs/>
          <w:sz w:val="22"/>
          <w:szCs w:val="22"/>
        </w:rPr>
      </w:pPr>
      <w:r w:rsidRPr="0084654A">
        <w:rPr>
          <w:b/>
          <w:bCs/>
          <w:sz w:val="22"/>
          <w:szCs w:val="22"/>
        </w:rPr>
        <w:t xml:space="preserve">The competent authority’s programme of inspections will be designed to check this. </w:t>
      </w:r>
    </w:p>
    <w:p w14:paraId="12DF6E77" w14:textId="77777777" w:rsidR="00944266" w:rsidRDefault="00944266" w:rsidP="0084654A">
      <w:pPr>
        <w:rPr>
          <w:b/>
          <w:bCs/>
          <w:sz w:val="22"/>
          <w:szCs w:val="22"/>
        </w:rPr>
      </w:pPr>
    </w:p>
    <w:p w14:paraId="3074092A" w14:textId="746761F7" w:rsidR="0084654A" w:rsidRPr="0084654A" w:rsidRDefault="0084654A" w:rsidP="0084654A">
      <w:pPr>
        <w:rPr>
          <w:b/>
          <w:bCs/>
          <w:sz w:val="22"/>
          <w:szCs w:val="22"/>
        </w:rPr>
      </w:pPr>
      <w:r w:rsidRPr="0084654A">
        <w:rPr>
          <w:b/>
          <w:bCs/>
          <w:sz w:val="22"/>
          <w:szCs w:val="22"/>
        </w:rPr>
        <w:t>For</w:t>
      </w:r>
      <w:r w:rsidR="00944266">
        <w:rPr>
          <w:b/>
          <w:bCs/>
          <w:sz w:val="22"/>
          <w:szCs w:val="22"/>
        </w:rPr>
        <w:t xml:space="preserve"> </w:t>
      </w:r>
      <w:r w:rsidRPr="0084654A">
        <w:rPr>
          <w:b/>
          <w:bCs/>
          <w:sz w:val="22"/>
          <w:szCs w:val="22"/>
        </w:rPr>
        <w:t>upper-tier operators this will mean ensuring that the operation of the plant reflects the information in the safety report. For all establishments, documents such as the major accident prevention policy (MAP), operating instructions and training material will be necessary as part of the overall demonstration.</w:t>
      </w:r>
    </w:p>
    <w:p w14:paraId="6E905BEF" w14:textId="77777777" w:rsidR="0084654A" w:rsidRPr="0084654A" w:rsidRDefault="0084654A" w:rsidP="0084654A">
      <w:pPr>
        <w:rPr>
          <w:b/>
          <w:bCs/>
          <w:sz w:val="22"/>
          <w:szCs w:val="22"/>
        </w:rPr>
      </w:pPr>
    </w:p>
    <w:p w14:paraId="3323CB33" w14:textId="3D264461" w:rsidR="0084654A" w:rsidRPr="0084654A" w:rsidRDefault="0084654A" w:rsidP="0084654A">
      <w:pPr>
        <w:rPr>
          <w:b/>
          <w:bCs/>
          <w:sz w:val="22"/>
          <w:szCs w:val="22"/>
        </w:rPr>
      </w:pPr>
      <w:r w:rsidRPr="0084654A">
        <w:rPr>
          <w:b/>
          <w:bCs/>
          <w:sz w:val="22"/>
          <w:szCs w:val="22"/>
        </w:rPr>
        <w:t>para 125 - The MAP is a key document. Its purpose is to provide a statement of the senior management’s commitment to achieving high standards of major hazard control.</w:t>
      </w:r>
    </w:p>
    <w:p w14:paraId="7F37223D" w14:textId="77777777" w:rsidR="0084654A" w:rsidRPr="0084654A" w:rsidRDefault="0084654A" w:rsidP="0084654A">
      <w:pPr>
        <w:rPr>
          <w:b/>
          <w:bCs/>
          <w:sz w:val="22"/>
          <w:szCs w:val="22"/>
        </w:rPr>
      </w:pPr>
    </w:p>
    <w:p w14:paraId="01297FA4" w14:textId="4BB3E92C" w:rsidR="0084654A" w:rsidRPr="0084654A" w:rsidRDefault="0084654A" w:rsidP="0084654A">
      <w:pPr>
        <w:rPr>
          <w:b/>
          <w:bCs/>
          <w:sz w:val="22"/>
          <w:szCs w:val="22"/>
        </w:rPr>
      </w:pPr>
      <w:r w:rsidRPr="0084654A">
        <w:rPr>
          <w:b/>
          <w:bCs/>
          <w:sz w:val="22"/>
          <w:szCs w:val="22"/>
        </w:rPr>
        <w:t>A major accident prevention policy document must</w:t>
      </w:r>
      <w:r w:rsidR="00D56916">
        <w:rPr>
          <w:b/>
          <w:bCs/>
          <w:sz w:val="22"/>
          <w:szCs w:val="22"/>
        </w:rPr>
        <w:t>:</w:t>
      </w:r>
    </w:p>
    <w:p w14:paraId="30126542" w14:textId="77777777" w:rsidR="0084654A" w:rsidRPr="0084654A" w:rsidRDefault="0084654A" w:rsidP="0084654A">
      <w:pPr>
        <w:rPr>
          <w:b/>
          <w:bCs/>
          <w:sz w:val="22"/>
          <w:szCs w:val="22"/>
        </w:rPr>
      </w:pPr>
    </w:p>
    <w:p w14:paraId="4CC37509" w14:textId="04C8E25F" w:rsidR="0084654A" w:rsidRPr="0084654A" w:rsidRDefault="0084654A" w:rsidP="0084654A">
      <w:pPr>
        <w:rPr>
          <w:b/>
          <w:bCs/>
          <w:sz w:val="22"/>
          <w:szCs w:val="22"/>
        </w:rPr>
      </w:pPr>
      <w:r w:rsidRPr="0084654A">
        <w:rPr>
          <w:b/>
          <w:bCs/>
          <w:sz w:val="22"/>
          <w:szCs w:val="22"/>
        </w:rPr>
        <w:t xml:space="preserve">(a) be designed to ensure a high level of protection of human health and the </w:t>
      </w:r>
      <w:r w:rsidR="00944266" w:rsidRPr="0084654A">
        <w:rPr>
          <w:b/>
          <w:bCs/>
          <w:sz w:val="22"/>
          <w:szCs w:val="22"/>
        </w:rPr>
        <w:t>environment.</w:t>
      </w:r>
    </w:p>
    <w:p w14:paraId="016DBA5F" w14:textId="22428C5F" w:rsidR="0084654A" w:rsidRPr="0084654A" w:rsidRDefault="0084654A" w:rsidP="0084654A">
      <w:pPr>
        <w:rPr>
          <w:b/>
          <w:bCs/>
          <w:sz w:val="22"/>
          <w:szCs w:val="22"/>
        </w:rPr>
      </w:pPr>
      <w:r w:rsidRPr="0084654A">
        <w:rPr>
          <w:b/>
          <w:bCs/>
          <w:sz w:val="22"/>
          <w:szCs w:val="22"/>
        </w:rPr>
        <w:t xml:space="preserve">(b) be proportionate to the major accident </w:t>
      </w:r>
      <w:r w:rsidR="00944266" w:rsidRPr="0084654A">
        <w:rPr>
          <w:b/>
          <w:bCs/>
          <w:sz w:val="22"/>
          <w:szCs w:val="22"/>
        </w:rPr>
        <w:t>hazards.</w:t>
      </w:r>
    </w:p>
    <w:p w14:paraId="69936D15" w14:textId="77777777" w:rsidR="0084654A" w:rsidRPr="0084654A" w:rsidRDefault="0084654A" w:rsidP="0084654A">
      <w:pPr>
        <w:rPr>
          <w:b/>
          <w:bCs/>
          <w:sz w:val="22"/>
          <w:szCs w:val="22"/>
        </w:rPr>
      </w:pPr>
      <w:r w:rsidRPr="0084654A">
        <w:rPr>
          <w:b/>
          <w:bCs/>
          <w:sz w:val="22"/>
          <w:szCs w:val="22"/>
        </w:rPr>
        <w:t>(c) set out the operator’s overall aims and principles of action; and</w:t>
      </w:r>
    </w:p>
    <w:p w14:paraId="57CC9CAA" w14:textId="77777777" w:rsidR="0084654A" w:rsidRPr="0084654A" w:rsidRDefault="0084654A" w:rsidP="0084654A">
      <w:pPr>
        <w:rPr>
          <w:b/>
          <w:bCs/>
          <w:sz w:val="22"/>
          <w:szCs w:val="22"/>
        </w:rPr>
      </w:pPr>
      <w:r w:rsidRPr="0084654A">
        <w:rPr>
          <w:b/>
          <w:bCs/>
          <w:sz w:val="22"/>
          <w:szCs w:val="22"/>
        </w:rPr>
        <w:t>(d) set out the role and responsibility of management, and its commitment towards continuously improving the control of major accident hazards.</w:t>
      </w:r>
    </w:p>
    <w:p w14:paraId="5FA3097C" w14:textId="77777777" w:rsidR="0084654A" w:rsidRPr="0084654A" w:rsidRDefault="0084654A" w:rsidP="0084654A">
      <w:pPr>
        <w:rPr>
          <w:b/>
          <w:bCs/>
          <w:sz w:val="22"/>
          <w:szCs w:val="22"/>
        </w:rPr>
      </w:pPr>
    </w:p>
    <w:p w14:paraId="0CAFD130" w14:textId="1C3C8605" w:rsidR="0084654A" w:rsidRPr="0084654A" w:rsidRDefault="0084654A" w:rsidP="0084654A">
      <w:pPr>
        <w:rPr>
          <w:b/>
          <w:bCs/>
          <w:sz w:val="22"/>
          <w:szCs w:val="22"/>
        </w:rPr>
      </w:pPr>
      <w:r w:rsidRPr="0084654A">
        <w:rPr>
          <w:b/>
          <w:bCs/>
          <w:sz w:val="22"/>
          <w:szCs w:val="22"/>
        </w:rPr>
        <w:t>The MAP must:</w:t>
      </w:r>
    </w:p>
    <w:p w14:paraId="4FF8CA92" w14:textId="6FBF62C1" w:rsidR="0084654A" w:rsidRPr="0084654A" w:rsidRDefault="0084654A" w:rsidP="0084654A">
      <w:pPr>
        <w:rPr>
          <w:b/>
          <w:bCs/>
          <w:sz w:val="22"/>
          <w:szCs w:val="22"/>
        </w:rPr>
      </w:pPr>
      <w:r w:rsidRPr="0084654A">
        <w:rPr>
          <w:b/>
          <w:bCs/>
          <w:sz w:val="22"/>
          <w:szCs w:val="22"/>
        </w:rPr>
        <w:t xml:space="preserve">(a) specifically address major accident </w:t>
      </w:r>
      <w:r w:rsidR="00944266" w:rsidRPr="0084654A">
        <w:rPr>
          <w:b/>
          <w:bCs/>
          <w:sz w:val="22"/>
          <w:szCs w:val="22"/>
        </w:rPr>
        <w:t>hazards.</w:t>
      </w:r>
    </w:p>
    <w:p w14:paraId="16801C5B" w14:textId="77777777" w:rsidR="0084654A" w:rsidRPr="0084654A" w:rsidRDefault="0084654A" w:rsidP="0084654A">
      <w:pPr>
        <w:rPr>
          <w:b/>
          <w:bCs/>
          <w:sz w:val="22"/>
          <w:szCs w:val="22"/>
        </w:rPr>
      </w:pPr>
      <w:r w:rsidRPr="0084654A">
        <w:rPr>
          <w:b/>
          <w:bCs/>
          <w:sz w:val="22"/>
          <w:szCs w:val="22"/>
        </w:rPr>
        <w:t>(b) relate to protection of people and the environment.</w:t>
      </w:r>
    </w:p>
    <w:p w14:paraId="4BCC9651" w14:textId="77777777" w:rsidR="0084654A" w:rsidRPr="0084654A" w:rsidRDefault="0084654A" w:rsidP="0084654A">
      <w:pPr>
        <w:rPr>
          <w:b/>
          <w:bCs/>
          <w:sz w:val="22"/>
          <w:szCs w:val="22"/>
        </w:rPr>
      </w:pPr>
    </w:p>
    <w:p w14:paraId="6C32C660" w14:textId="77777777" w:rsidR="00D56916" w:rsidRDefault="00D56916" w:rsidP="0084654A">
      <w:pPr>
        <w:rPr>
          <w:b/>
          <w:bCs/>
          <w:sz w:val="22"/>
          <w:szCs w:val="22"/>
        </w:rPr>
      </w:pPr>
    </w:p>
    <w:p w14:paraId="2E924015" w14:textId="77777777" w:rsidR="00D56916" w:rsidRDefault="00D56916" w:rsidP="0084654A">
      <w:pPr>
        <w:rPr>
          <w:b/>
          <w:bCs/>
          <w:sz w:val="22"/>
          <w:szCs w:val="22"/>
        </w:rPr>
      </w:pPr>
    </w:p>
    <w:p w14:paraId="193BB783" w14:textId="77777777" w:rsidR="00D56916" w:rsidRDefault="00D56916" w:rsidP="0084654A">
      <w:pPr>
        <w:rPr>
          <w:b/>
          <w:bCs/>
          <w:sz w:val="22"/>
          <w:szCs w:val="22"/>
        </w:rPr>
      </w:pPr>
    </w:p>
    <w:p w14:paraId="0E4E2FF7" w14:textId="116BFFBB" w:rsidR="0084654A" w:rsidRPr="0084654A" w:rsidRDefault="00944266" w:rsidP="0084654A">
      <w:pPr>
        <w:rPr>
          <w:b/>
          <w:bCs/>
          <w:sz w:val="22"/>
          <w:szCs w:val="22"/>
        </w:rPr>
      </w:pPr>
      <w:r>
        <w:rPr>
          <w:b/>
          <w:bCs/>
          <w:sz w:val="22"/>
          <w:szCs w:val="22"/>
        </w:rPr>
        <w:t>P</w:t>
      </w:r>
      <w:r w:rsidR="0084654A" w:rsidRPr="0084654A">
        <w:rPr>
          <w:b/>
          <w:bCs/>
          <w:sz w:val="22"/>
          <w:szCs w:val="22"/>
        </w:rPr>
        <w:t xml:space="preserve">ara 129 The MAP should set down what is to be achieved, with an indication of how this is to be </w:t>
      </w:r>
      <w:r w:rsidR="00D56916" w:rsidRPr="0084654A">
        <w:rPr>
          <w:b/>
          <w:bCs/>
          <w:sz w:val="22"/>
          <w:szCs w:val="22"/>
        </w:rPr>
        <w:t>done but</w:t>
      </w:r>
      <w:r w:rsidR="0084654A" w:rsidRPr="0084654A">
        <w:rPr>
          <w:b/>
          <w:bCs/>
          <w:sz w:val="22"/>
          <w:szCs w:val="22"/>
        </w:rPr>
        <w:t xml:space="preserve"> does not need to go into great detail. The detail should be contained in other documentation relating to the establishment, </w:t>
      </w:r>
      <w:proofErr w:type="spellStart"/>
      <w:r w:rsidR="0084654A" w:rsidRPr="0084654A">
        <w:rPr>
          <w:b/>
          <w:bCs/>
          <w:sz w:val="22"/>
          <w:szCs w:val="22"/>
        </w:rPr>
        <w:t>eg</w:t>
      </w:r>
      <w:proofErr w:type="spellEnd"/>
      <w:r w:rsidR="0084654A" w:rsidRPr="0084654A">
        <w:rPr>
          <w:b/>
          <w:bCs/>
          <w:sz w:val="22"/>
          <w:szCs w:val="22"/>
        </w:rPr>
        <w:t xml:space="preserve"> plant operating procedures, training records and job descriptions</w:t>
      </w:r>
      <w:r w:rsidR="005B366C">
        <w:rPr>
          <w:b/>
          <w:bCs/>
          <w:sz w:val="22"/>
          <w:szCs w:val="22"/>
        </w:rPr>
        <w:t xml:space="preserve"> </w:t>
      </w:r>
      <w:r w:rsidR="005B366C" w:rsidRPr="0084654A">
        <w:rPr>
          <w:b/>
          <w:bCs/>
          <w:sz w:val="22"/>
          <w:szCs w:val="22"/>
        </w:rPr>
        <w:t>i.e.</w:t>
      </w:r>
      <w:r w:rsidR="0084654A" w:rsidRPr="0084654A">
        <w:rPr>
          <w:b/>
          <w:bCs/>
          <w:sz w:val="22"/>
          <w:szCs w:val="22"/>
        </w:rPr>
        <w:t xml:space="preserve"> the lap top charging </w:t>
      </w:r>
      <w:r w:rsidR="0084654A" w:rsidRPr="0084654A">
        <w:rPr>
          <w:b/>
          <w:bCs/>
          <w:sz w:val="22"/>
          <w:szCs w:val="22"/>
        </w:rPr>
        <w:lastRenderedPageBreak/>
        <w:t>should have been done in fire rated cabinets.. Not something that is not fire rated. - or it should have been isolated in a 60 minute "sterile" room etc.</w:t>
      </w:r>
    </w:p>
    <w:p w14:paraId="6892E16F" w14:textId="77777777" w:rsidR="0084654A" w:rsidRPr="0084654A" w:rsidRDefault="0084654A" w:rsidP="0084654A">
      <w:pPr>
        <w:rPr>
          <w:b/>
          <w:bCs/>
          <w:sz w:val="22"/>
          <w:szCs w:val="22"/>
        </w:rPr>
      </w:pPr>
    </w:p>
    <w:p w14:paraId="65DF4856" w14:textId="77777777" w:rsidR="0084654A" w:rsidRPr="0084654A" w:rsidRDefault="0084654A" w:rsidP="0084654A">
      <w:pPr>
        <w:rPr>
          <w:b/>
          <w:bCs/>
          <w:sz w:val="22"/>
          <w:szCs w:val="22"/>
        </w:rPr>
      </w:pPr>
      <w:r w:rsidRPr="0084654A">
        <w:rPr>
          <w:b/>
          <w:bCs/>
          <w:sz w:val="22"/>
          <w:szCs w:val="22"/>
        </w:rPr>
        <w:t xml:space="preserve">CAUSE - Then you have to decide on the cause and effect - In the instance of laptop charging - the cause of a fire incident would be a laptop entering Exothermic reaction, due to damage or inappropriate chargers.   </w:t>
      </w:r>
    </w:p>
    <w:p w14:paraId="41E6E7B4" w14:textId="77777777" w:rsidR="0084654A" w:rsidRPr="0084654A" w:rsidRDefault="0084654A" w:rsidP="0084654A">
      <w:pPr>
        <w:rPr>
          <w:b/>
          <w:bCs/>
          <w:sz w:val="22"/>
          <w:szCs w:val="22"/>
        </w:rPr>
      </w:pPr>
    </w:p>
    <w:p w14:paraId="5253C3C6" w14:textId="77777777" w:rsidR="0084654A" w:rsidRPr="0084654A" w:rsidRDefault="0084654A" w:rsidP="0084654A">
      <w:pPr>
        <w:rPr>
          <w:b/>
          <w:bCs/>
          <w:sz w:val="22"/>
          <w:szCs w:val="22"/>
        </w:rPr>
      </w:pPr>
      <w:r w:rsidRPr="0084654A">
        <w:rPr>
          <w:b/>
          <w:bCs/>
          <w:sz w:val="22"/>
          <w:szCs w:val="22"/>
        </w:rPr>
        <w:t>EFFECT - The effect is - a fire inside a single steel skin cabinet would not contain the fire.  Each laptop battery would ignite and the fire would spread quickly throughout the whole building, toxins, such as (HF) - Hydrogen  Fluoride - H330 - fatal if inhaled - in the instance of Lithium Polymer -would be released.</w:t>
      </w:r>
    </w:p>
    <w:p w14:paraId="728A6588" w14:textId="77777777" w:rsidR="0084654A" w:rsidRPr="0084654A" w:rsidRDefault="0084654A" w:rsidP="0084654A">
      <w:pPr>
        <w:rPr>
          <w:b/>
          <w:bCs/>
          <w:sz w:val="22"/>
          <w:szCs w:val="22"/>
        </w:rPr>
      </w:pPr>
    </w:p>
    <w:p w14:paraId="4266141B" w14:textId="77777777" w:rsidR="0084654A" w:rsidRPr="0084654A" w:rsidRDefault="0084654A" w:rsidP="0084654A">
      <w:pPr>
        <w:rPr>
          <w:b/>
          <w:bCs/>
          <w:sz w:val="22"/>
          <w:szCs w:val="22"/>
        </w:rPr>
      </w:pPr>
      <w:r w:rsidRPr="0084654A">
        <w:rPr>
          <w:b/>
          <w:bCs/>
          <w:sz w:val="22"/>
          <w:szCs w:val="22"/>
        </w:rPr>
        <w:t>CONSEQUENCE - Significant injury or fatality, loss of building.</w:t>
      </w:r>
    </w:p>
    <w:p w14:paraId="611E39D5" w14:textId="77777777" w:rsidR="0084654A" w:rsidRPr="0084654A" w:rsidRDefault="0084654A" w:rsidP="0084654A">
      <w:pPr>
        <w:rPr>
          <w:b/>
          <w:bCs/>
          <w:sz w:val="22"/>
          <w:szCs w:val="22"/>
        </w:rPr>
      </w:pPr>
    </w:p>
    <w:p w14:paraId="5F9D7B0A" w14:textId="47141264" w:rsidR="0084654A" w:rsidRPr="0084654A" w:rsidRDefault="0084654A" w:rsidP="0084654A">
      <w:pPr>
        <w:rPr>
          <w:b/>
          <w:bCs/>
          <w:sz w:val="22"/>
          <w:szCs w:val="22"/>
        </w:rPr>
      </w:pPr>
      <w:r w:rsidRPr="0084654A">
        <w:rPr>
          <w:b/>
          <w:bCs/>
          <w:sz w:val="22"/>
          <w:szCs w:val="22"/>
        </w:rPr>
        <w:t xml:space="preserve">MAP - Major Accident Plans - are part of COMAH Compliance, and incredibly detailed.  So the cause and effect document would identify what can fail. The consequences of which and then you detailed the appropriate actions to be taken. </w:t>
      </w:r>
    </w:p>
    <w:p w14:paraId="37862698" w14:textId="77777777" w:rsidR="0084654A" w:rsidRPr="0084654A" w:rsidRDefault="0084654A" w:rsidP="0084654A">
      <w:pPr>
        <w:rPr>
          <w:b/>
          <w:bCs/>
          <w:sz w:val="22"/>
          <w:szCs w:val="22"/>
        </w:rPr>
      </w:pPr>
    </w:p>
    <w:p w14:paraId="308367A4" w14:textId="77777777" w:rsidR="0084654A" w:rsidRPr="0084654A" w:rsidRDefault="0084654A" w:rsidP="0084654A">
      <w:pPr>
        <w:rPr>
          <w:b/>
          <w:bCs/>
          <w:sz w:val="22"/>
          <w:szCs w:val="22"/>
        </w:rPr>
      </w:pPr>
      <w:r w:rsidRPr="0084654A">
        <w:rPr>
          <w:b/>
          <w:bCs/>
          <w:sz w:val="22"/>
          <w:szCs w:val="22"/>
        </w:rPr>
        <w:t xml:space="preserve">ACTION - Use only 90 minute fire rated cabinet with built in charging and fire suppression, the fire would have been contained, and toxins sealed inside of the cabinet. </w:t>
      </w:r>
    </w:p>
    <w:p w14:paraId="3C2BD0ED" w14:textId="77777777" w:rsidR="0084654A" w:rsidRPr="0084654A" w:rsidRDefault="0084654A" w:rsidP="0084654A">
      <w:pPr>
        <w:rPr>
          <w:b/>
          <w:bCs/>
          <w:sz w:val="22"/>
          <w:szCs w:val="22"/>
        </w:rPr>
      </w:pPr>
    </w:p>
    <w:p w14:paraId="77FADF79" w14:textId="77777777" w:rsidR="0084654A" w:rsidRPr="0084654A" w:rsidRDefault="0084654A" w:rsidP="0084654A">
      <w:pPr>
        <w:rPr>
          <w:b/>
          <w:bCs/>
          <w:sz w:val="22"/>
          <w:szCs w:val="22"/>
        </w:rPr>
      </w:pPr>
      <w:r w:rsidRPr="0084654A">
        <w:rPr>
          <w:b/>
          <w:bCs/>
          <w:sz w:val="22"/>
          <w:szCs w:val="22"/>
        </w:rPr>
        <w:t>So the major accident prevention plan, would reflect why a single skin cabinets should not be used and why only fire rated 90 minute cabinet should be used - with the latter - In the event of a fire, remove the cabinet outside - dispose of the toxic contaminated fire cabinet via appropriate channels,  purchase a new one.</w:t>
      </w:r>
    </w:p>
    <w:p w14:paraId="6E5C1AD1" w14:textId="77777777" w:rsidR="0084654A" w:rsidRPr="0084654A" w:rsidRDefault="0084654A" w:rsidP="0084654A">
      <w:pPr>
        <w:rPr>
          <w:b/>
          <w:bCs/>
          <w:sz w:val="22"/>
          <w:szCs w:val="22"/>
        </w:rPr>
      </w:pPr>
    </w:p>
    <w:p w14:paraId="5E7DB97D" w14:textId="68125753" w:rsidR="0084654A" w:rsidRPr="0084654A" w:rsidRDefault="0084654A" w:rsidP="0084654A">
      <w:pPr>
        <w:rPr>
          <w:b/>
          <w:bCs/>
          <w:sz w:val="22"/>
          <w:szCs w:val="22"/>
        </w:rPr>
      </w:pPr>
      <w:r w:rsidRPr="0084654A">
        <w:rPr>
          <w:b/>
          <w:bCs/>
          <w:sz w:val="22"/>
          <w:szCs w:val="22"/>
        </w:rPr>
        <w:t xml:space="preserve">Remember - this has to be done across the complete site, for every "Major" RISK, not day to day risks or hazards - The principles of a MAP are to protect everyone, the environment or other facilities, typically within a max of 1 km from the establishment.   </w:t>
      </w:r>
    </w:p>
    <w:p w14:paraId="090D3FB0" w14:textId="42D94B87" w:rsidR="00013B02" w:rsidRDefault="00013B02" w:rsidP="00013B02">
      <w:pPr>
        <w:rPr>
          <w:b/>
          <w:bCs/>
          <w:sz w:val="22"/>
          <w:szCs w:val="22"/>
        </w:rPr>
      </w:pPr>
    </w:p>
    <w:p w14:paraId="3F423E76" w14:textId="77777777" w:rsidR="00344660" w:rsidRDefault="00344660" w:rsidP="00013B02">
      <w:pPr>
        <w:rPr>
          <w:b/>
          <w:bCs/>
          <w:sz w:val="22"/>
          <w:szCs w:val="22"/>
        </w:rPr>
      </w:pPr>
    </w:p>
    <w:p w14:paraId="51075522" w14:textId="73D7506E" w:rsidR="00344660" w:rsidRPr="00013B02" w:rsidRDefault="00344660" w:rsidP="00013B02">
      <w:pPr>
        <w:rPr>
          <w:sz w:val="22"/>
          <w:szCs w:val="22"/>
        </w:rPr>
      </w:pPr>
      <w:r>
        <w:rPr>
          <w:b/>
          <w:bCs/>
          <w:sz w:val="22"/>
          <w:szCs w:val="22"/>
        </w:rPr>
        <w:t>Steve Dilloway BAFE SP205 Certified Fire Risk Assessor ID 302298</w:t>
      </w:r>
    </w:p>
    <w:p w14:paraId="5C50F404" w14:textId="77777777" w:rsidR="00013B02" w:rsidRPr="00013B02" w:rsidRDefault="00013B02" w:rsidP="00013B02">
      <w:pPr>
        <w:rPr>
          <w:sz w:val="22"/>
          <w:szCs w:val="22"/>
        </w:rPr>
      </w:pPr>
    </w:p>
    <w:p w14:paraId="28AE1652" w14:textId="77777777" w:rsidR="00013B02" w:rsidRPr="00013B02" w:rsidRDefault="00013B02" w:rsidP="00013B02">
      <w:pPr>
        <w:rPr>
          <w:sz w:val="22"/>
          <w:szCs w:val="22"/>
        </w:rPr>
      </w:pPr>
    </w:p>
    <w:p w14:paraId="399B0B9A" w14:textId="77777777" w:rsidR="00013B02" w:rsidRPr="00E97C3B" w:rsidRDefault="00013B02">
      <w:pPr>
        <w:rPr>
          <w:sz w:val="22"/>
          <w:szCs w:val="22"/>
        </w:rPr>
      </w:pPr>
    </w:p>
    <w:sectPr w:rsidR="00013B02" w:rsidRPr="00E97C3B"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F524" w14:textId="77777777" w:rsidR="00B9277F" w:rsidRDefault="00B9277F" w:rsidP="00AD65CD">
      <w:r>
        <w:separator/>
      </w:r>
    </w:p>
  </w:endnote>
  <w:endnote w:type="continuationSeparator" w:id="0">
    <w:p w14:paraId="67326111" w14:textId="77777777" w:rsidR="00B9277F" w:rsidRDefault="00B9277F"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12154"/>
      <w:docPartObj>
        <w:docPartGallery w:val="Page Numbers (Bottom of Page)"/>
        <w:docPartUnique/>
      </w:docPartObj>
    </w:sdtPr>
    <w:sdtEndPr>
      <w:rPr>
        <w:noProof/>
      </w:rPr>
    </w:sdtEndPr>
    <w:sdtContent>
      <w:p w14:paraId="4C1C907F" w14:textId="6FCD9480" w:rsidR="0071001B" w:rsidRDefault="00710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A772" w14:textId="77777777" w:rsidR="00B9277F" w:rsidRDefault="00B9277F" w:rsidP="00AD65CD">
      <w:r>
        <w:separator/>
      </w:r>
    </w:p>
  </w:footnote>
  <w:footnote w:type="continuationSeparator" w:id="0">
    <w:p w14:paraId="1A510F5E" w14:textId="77777777" w:rsidR="00B9277F" w:rsidRDefault="00B9277F"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D57F8"/>
    <w:multiLevelType w:val="hybridMultilevel"/>
    <w:tmpl w:val="96827E36"/>
    <w:lvl w:ilvl="0" w:tplc="EF286922">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F30CD"/>
    <w:multiLevelType w:val="hybridMultilevel"/>
    <w:tmpl w:val="09821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F5DCE"/>
    <w:multiLevelType w:val="hybridMultilevel"/>
    <w:tmpl w:val="20D63748"/>
    <w:lvl w:ilvl="0" w:tplc="3C2018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3"/>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4"/>
  </w:num>
  <w:num w:numId="11" w16cid:durableId="1772159603">
    <w:abstractNumId w:val="8"/>
  </w:num>
  <w:num w:numId="12" w16cid:durableId="1436632145">
    <w:abstractNumId w:val="3"/>
  </w:num>
  <w:num w:numId="13" w16cid:durableId="2023239429">
    <w:abstractNumId w:val="12"/>
  </w:num>
  <w:num w:numId="14" w16cid:durableId="1859854857">
    <w:abstractNumId w:val="10"/>
  </w:num>
  <w:num w:numId="15" w16cid:durableId="1717004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3507"/>
    <w:rsid w:val="0002378F"/>
    <w:rsid w:val="0002597F"/>
    <w:rsid w:val="000259BD"/>
    <w:rsid w:val="00027AC4"/>
    <w:rsid w:val="000326EC"/>
    <w:rsid w:val="00033418"/>
    <w:rsid w:val="000347FE"/>
    <w:rsid w:val="00043C62"/>
    <w:rsid w:val="00047324"/>
    <w:rsid w:val="00050078"/>
    <w:rsid w:val="00050A4A"/>
    <w:rsid w:val="00050C8E"/>
    <w:rsid w:val="000514CB"/>
    <w:rsid w:val="00056797"/>
    <w:rsid w:val="00060298"/>
    <w:rsid w:val="00065F84"/>
    <w:rsid w:val="00066039"/>
    <w:rsid w:val="00076609"/>
    <w:rsid w:val="000779CF"/>
    <w:rsid w:val="000829E8"/>
    <w:rsid w:val="00085072"/>
    <w:rsid w:val="000870F2"/>
    <w:rsid w:val="00091A99"/>
    <w:rsid w:val="00094CDD"/>
    <w:rsid w:val="00095B55"/>
    <w:rsid w:val="000A1719"/>
    <w:rsid w:val="000A31F4"/>
    <w:rsid w:val="000A599C"/>
    <w:rsid w:val="000A5DF5"/>
    <w:rsid w:val="000A63D3"/>
    <w:rsid w:val="000B0A9D"/>
    <w:rsid w:val="000B351E"/>
    <w:rsid w:val="000B4C0F"/>
    <w:rsid w:val="000C16C0"/>
    <w:rsid w:val="000C2487"/>
    <w:rsid w:val="000D4386"/>
    <w:rsid w:val="000D67CA"/>
    <w:rsid w:val="000D723A"/>
    <w:rsid w:val="000E07BF"/>
    <w:rsid w:val="000E49D2"/>
    <w:rsid w:val="000E769D"/>
    <w:rsid w:val="000F3A2F"/>
    <w:rsid w:val="000F51FA"/>
    <w:rsid w:val="00100F39"/>
    <w:rsid w:val="00101059"/>
    <w:rsid w:val="001105F9"/>
    <w:rsid w:val="00113D71"/>
    <w:rsid w:val="00114099"/>
    <w:rsid w:val="00114DA2"/>
    <w:rsid w:val="001166DD"/>
    <w:rsid w:val="001176B0"/>
    <w:rsid w:val="001224CE"/>
    <w:rsid w:val="0012591C"/>
    <w:rsid w:val="00127CA3"/>
    <w:rsid w:val="00131001"/>
    <w:rsid w:val="00131DB5"/>
    <w:rsid w:val="00132680"/>
    <w:rsid w:val="0013496D"/>
    <w:rsid w:val="00134FEF"/>
    <w:rsid w:val="00140387"/>
    <w:rsid w:val="00141BAE"/>
    <w:rsid w:val="00141D94"/>
    <w:rsid w:val="00142539"/>
    <w:rsid w:val="001426B3"/>
    <w:rsid w:val="00144E20"/>
    <w:rsid w:val="00145531"/>
    <w:rsid w:val="00145966"/>
    <w:rsid w:val="00145BA3"/>
    <w:rsid w:val="00146841"/>
    <w:rsid w:val="00154321"/>
    <w:rsid w:val="001556F9"/>
    <w:rsid w:val="001579E4"/>
    <w:rsid w:val="00160A35"/>
    <w:rsid w:val="001611F5"/>
    <w:rsid w:val="00162A4C"/>
    <w:rsid w:val="0016625E"/>
    <w:rsid w:val="00167E38"/>
    <w:rsid w:val="00170D13"/>
    <w:rsid w:val="001729BD"/>
    <w:rsid w:val="00176F5F"/>
    <w:rsid w:val="001820CA"/>
    <w:rsid w:val="001826DA"/>
    <w:rsid w:val="00190C2B"/>
    <w:rsid w:val="00194463"/>
    <w:rsid w:val="00194710"/>
    <w:rsid w:val="001979C1"/>
    <w:rsid w:val="001A3E18"/>
    <w:rsid w:val="001A5044"/>
    <w:rsid w:val="001A789D"/>
    <w:rsid w:val="001B2D60"/>
    <w:rsid w:val="001C0397"/>
    <w:rsid w:val="001C0671"/>
    <w:rsid w:val="001C4416"/>
    <w:rsid w:val="001C6E2D"/>
    <w:rsid w:val="001C717D"/>
    <w:rsid w:val="001D2849"/>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70C4"/>
    <w:rsid w:val="00230F25"/>
    <w:rsid w:val="002417E4"/>
    <w:rsid w:val="00243F2D"/>
    <w:rsid w:val="00244290"/>
    <w:rsid w:val="00245342"/>
    <w:rsid w:val="00245355"/>
    <w:rsid w:val="002469F7"/>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AFE"/>
    <w:rsid w:val="002C2044"/>
    <w:rsid w:val="002C2DF4"/>
    <w:rsid w:val="002C56A1"/>
    <w:rsid w:val="002C5775"/>
    <w:rsid w:val="002C7F9D"/>
    <w:rsid w:val="002D2FAB"/>
    <w:rsid w:val="002D44D4"/>
    <w:rsid w:val="002D4623"/>
    <w:rsid w:val="002D6BB1"/>
    <w:rsid w:val="002D7AA0"/>
    <w:rsid w:val="002E2606"/>
    <w:rsid w:val="002E759D"/>
    <w:rsid w:val="002E7EC8"/>
    <w:rsid w:val="002F3A64"/>
    <w:rsid w:val="002F5B75"/>
    <w:rsid w:val="002F5D09"/>
    <w:rsid w:val="00305017"/>
    <w:rsid w:val="00313C3B"/>
    <w:rsid w:val="00316C31"/>
    <w:rsid w:val="003207F4"/>
    <w:rsid w:val="0032112B"/>
    <w:rsid w:val="003236C7"/>
    <w:rsid w:val="0032423F"/>
    <w:rsid w:val="00324D35"/>
    <w:rsid w:val="00325F7F"/>
    <w:rsid w:val="00326388"/>
    <w:rsid w:val="00331F83"/>
    <w:rsid w:val="00332A80"/>
    <w:rsid w:val="00335438"/>
    <w:rsid w:val="00335493"/>
    <w:rsid w:val="00335D6D"/>
    <w:rsid w:val="003360CE"/>
    <w:rsid w:val="00337BFF"/>
    <w:rsid w:val="00337E73"/>
    <w:rsid w:val="00343FD2"/>
    <w:rsid w:val="00344660"/>
    <w:rsid w:val="00345269"/>
    <w:rsid w:val="003453D1"/>
    <w:rsid w:val="00345AE4"/>
    <w:rsid w:val="00355397"/>
    <w:rsid w:val="00355CFF"/>
    <w:rsid w:val="0035654E"/>
    <w:rsid w:val="0036043C"/>
    <w:rsid w:val="00363C76"/>
    <w:rsid w:val="003677D6"/>
    <w:rsid w:val="003716CA"/>
    <w:rsid w:val="00375D35"/>
    <w:rsid w:val="00381D4B"/>
    <w:rsid w:val="00383F83"/>
    <w:rsid w:val="00384061"/>
    <w:rsid w:val="003867F8"/>
    <w:rsid w:val="0039472B"/>
    <w:rsid w:val="00397B01"/>
    <w:rsid w:val="003A0E64"/>
    <w:rsid w:val="003A223C"/>
    <w:rsid w:val="003A3979"/>
    <w:rsid w:val="003A701B"/>
    <w:rsid w:val="003B0D32"/>
    <w:rsid w:val="003B4B38"/>
    <w:rsid w:val="003B4F6D"/>
    <w:rsid w:val="003C017E"/>
    <w:rsid w:val="003C0754"/>
    <w:rsid w:val="003C0823"/>
    <w:rsid w:val="003C1672"/>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5026"/>
    <w:rsid w:val="003F6255"/>
    <w:rsid w:val="003F7348"/>
    <w:rsid w:val="00403C23"/>
    <w:rsid w:val="004145B0"/>
    <w:rsid w:val="004150CC"/>
    <w:rsid w:val="00423CF1"/>
    <w:rsid w:val="00424577"/>
    <w:rsid w:val="00426021"/>
    <w:rsid w:val="0043056A"/>
    <w:rsid w:val="00432C15"/>
    <w:rsid w:val="004337E5"/>
    <w:rsid w:val="00436838"/>
    <w:rsid w:val="00437581"/>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54E0"/>
    <w:rsid w:val="00477E34"/>
    <w:rsid w:val="00481954"/>
    <w:rsid w:val="00483BE4"/>
    <w:rsid w:val="0048441C"/>
    <w:rsid w:val="0048596C"/>
    <w:rsid w:val="0048686E"/>
    <w:rsid w:val="004902AE"/>
    <w:rsid w:val="0049053F"/>
    <w:rsid w:val="00495511"/>
    <w:rsid w:val="0049581F"/>
    <w:rsid w:val="004A08FD"/>
    <w:rsid w:val="004A1311"/>
    <w:rsid w:val="004B0834"/>
    <w:rsid w:val="004B1B8C"/>
    <w:rsid w:val="004B1BDB"/>
    <w:rsid w:val="004B4214"/>
    <w:rsid w:val="004B4E00"/>
    <w:rsid w:val="004B7D99"/>
    <w:rsid w:val="004C25E2"/>
    <w:rsid w:val="004D6111"/>
    <w:rsid w:val="004D69A0"/>
    <w:rsid w:val="004E0DB1"/>
    <w:rsid w:val="004E348E"/>
    <w:rsid w:val="004E450A"/>
    <w:rsid w:val="004E51EB"/>
    <w:rsid w:val="004E7CC4"/>
    <w:rsid w:val="004E7CFB"/>
    <w:rsid w:val="004F1722"/>
    <w:rsid w:val="004F2AA1"/>
    <w:rsid w:val="004F637B"/>
    <w:rsid w:val="004F6799"/>
    <w:rsid w:val="00500D35"/>
    <w:rsid w:val="005029C5"/>
    <w:rsid w:val="00503357"/>
    <w:rsid w:val="00505B8A"/>
    <w:rsid w:val="00510EF8"/>
    <w:rsid w:val="00516DD1"/>
    <w:rsid w:val="00521D96"/>
    <w:rsid w:val="00521F40"/>
    <w:rsid w:val="0052201E"/>
    <w:rsid w:val="005223BE"/>
    <w:rsid w:val="005323C7"/>
    <w:rsid w:val="005339F9"/>
    <w:rsid w:val="00535D04"/>
    <w:rsid w:val="0053662C"/>
    <w:rsid w:val="005470B1"/>
    <w:rsid w:val="00555426"/>
    <w:rsid w:val="00562C27"/>
    <w:rsid w:val="00564865"/>
    <w:rsid w:val="00574426"/>
    <w:rsid w:val="00575228"/>
    <w:rsid w:val="005835CD"/>
    <w:rsid w:val="00584D03"/>
    <w:rsid w:val="00585B72"/>
    <w:rsid w:val="00586C25"/>
    <w:rsid w:val="0058745F"/>
    <w:rsid w:val="005946BA"/>
    <w:rsid w:val="005A5DF8"/>
    <w:rsid w:val="005A7393"/>
    <w:rsid w:val="005A7673"/>
    <w:rsid w:val="005B2CEA"/>
    <w:rsid w:val="005B366C"/>
    <w:rsid w:val="005B6D8E"/>
    <w:rsid w:val="005C259F"/>
    <w:rsid w:val="005D3F07"/>
    <w:rsid w:val="005D49BD"/>
    <w:rsid w:val="005D4A15"/>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51C9"/>
    <w:rsid w:val="00635CB8"/>
    <w:rsid w:val="006401CB"/>
    <w:rsid w:val="00644CB8"/>
    <w:rsid w:val="00646356"/>
    <w:rsid w:val="00650A82"/>
    <w:rsid w:val="00650FC0"/>
    <w:rsid w:val="0066649E"/>
    <w:rsid w:val="006669E7"/>
    <w:rsid w:val="00667402"/>
    <w:rsid w:val="00667C54"/>
    <w:rsid w:val="00671315"/>
    <w:rsid w:val="00671D77"/>
    <w:rsid w:val="00687A1F"/>
    <w:rsid w:val="00690422"/>
    <w:rsid w:val="006912B8"/>
    <w:rsid w:val="006922F9"/>
    <w:rsid w:val="006937AA"/>
    <w:rsid w:val="00696714"/>
    <w:rsid w:val="00697A93"/>
    <w:rsid w:val="006A1411"/>
    <w:rsid w:val="006A4262"/>
    <w:rsid w:val="006A724C"/>
    <w:rsid w:val="006B3A4F"/>
    <w:rsid w:val="006B4A62"/>
    <w:rsid w:val="006B553E"/>
    <w:rsid w:val="006B6231"/>
    <w:rsid w:val="006C08F0"/>
    <w:rsid w:val="006C0A04"/>
    <w:rsid w:val="006C39B4"/>
    <w:rsid w:val="006C69DB"/>
    <w:rsid w:val="006D1DFF"/>
    <w:rsid w:val="006D519B"/>
    <w:rsid w:val="006D69DF"/>
    <w:rsid w:val="006E1992"/>
    <w:rsid w:val="006E3B64"/>
    <w:rsid w:val="006F1309"/>
    <w:rsid w:val="006F1692"/>
    <w:rsid w:val="006F2405"/>
    <w:rsid w:val="006F5112"/>
    <w:rsid w:val="00704775"/>
    <w:rsid w:val="0071001B"/>
    <w:rsid w:val="00711FC4"/>
    <w:rsid w:val="0071483F"/>
    <w:rsid w:val="00714B01"/>
    <w:rsid w:val="00715798"/>
    <w:rsid w:val="0071596D"/>
    <w:rsid w:val="007228B1"/>
    <w:rsid w:val="00722D17"/>
    <w:rsid w:val="007232BD"/>
    <w:rsid w:val="00726CD7"/>
    <w:rsid w:val="00745B5C"/>
    <w:rsid w:val="00746F7C"/>
    <w:rsid w:val="00750158"/>
    <w:rsid w:val="00754C81"/>
    <w:rsid w:val="0076004D"/>
    <w:rsid w:val="0076447A"/>
    <w:rsid w:val="00770CFA"/>
    <w:rsid w:val="007710FB"/>
    <w:rsid w:val="00771786"/>
    <w:rsid w:val="00773A80"/>
    <w:rsid w:val="007740A6"/>
    <w:rsid w:val="00774613"/>
    <w:rsid w:val="00776F8B"/>
    <w:rsid w:val="007771ED"/>
    <w:rsid w:val="00777D40"/>
    <w:rsid w:val="0078044F"/>
    <w:rsid w:val="007810D0"/>
    <w:rsid w:val="00785440"/>
    <w:rsid w:val="0078766B"/>
    <w:rsid w:val="007902EA"/>
    <w:rsid w:val="00793AC8"/>
    <w:rsid w:val="00793E49"/>
    <w:rsid w:val="00794558"/>
    <w:rsid w:val="00794CD8"/>
    <w:rsid w:val="00794ED2"/>
    <w:rsid w:val="00795DCB"/>
    <w:rsid w:val="00797F8C"/>
    <w:rsid w:val="007A38FB"/>
    <w:rsid w:val="007B1BC6"/>
    <w:rsid w:val="007B1E41"/>
    <w:rsid w:val="007B4522"/>
    <w:rsid w:val="007B54DB"/>
    <w:rsid w:val="007B5FB4"/>
    <w:rsid w:val="007C037D"/>
    <w:rsid w:val="007C1CF5"/>
    <w:rsid w:val="007C2362"/>
    <w:rsid w:val="007C3E70"/>
    <w:rsid w:val="007C40D4"/>
    <w:rsid w:val="007C4B48"/>
    <w:rsid w:val="007D2BFE"/>
    <w:rsid w:val="007D2F93"/>
    <w:rsid w:val="007D3CB6"/>
    <w:rsid w:val="007D4401"/>
    <w:rsid w:val="007D54A2"/>
    <w:rsid w:val="007D57A4"/>
    <w:rsid w:val="007D5BE0"/>
    <w:rsid w:val="007E16A5"/>
    <w:rsid w:val="007E1F43"/>
    <w:rsid w:val="007E2173"/>
    <w:rsid w:val="007E2CAC"/>
    <w:rsid w:val="007E4126"/>
    <w:rsid w:val="007E4BDA"/>
    <w:rsid w:val="007E5C9F"/>
    <w:rsid w:val="007E5E94"/>
    <w:rsid w:val="007E6E54"/>
    <w:rsid w:val="007E6E59"/>
    <w:rsid w:val="007E7CFC"/>
    <w:rsid w:val="007F0E65"/>
    <w:rsid w:val="007F127E"/>
    <w:rsid w:val="007F5A88"/>
    <w:rsid w:val="007F63E7"/>
    <w:rsid w:val="00800FA2"/>
    <w:rsid w:val="00806DAB"/>
    <w:rsid w:val="00810D5A"/>
    <w:rsid w:val="00810DA0"/>
    <w:rsid w:val="00816855"/>
    <w:rsid w:val="00821FE5"/>
    <w:rsid w:val="00822786"/>
    <w:rsid w:val="00824171"/>
    <w:rsid w:val="00827A7D"/>
    <w:rsid w:val="00830047"/>
    <w:rsid w:val="00831B9E"/>
    <w:rsid w:val="0083234B"/>
    <w:rsid w:val="0083405F"/>
    <w:rsid w:val="00835E46"/>
    <w:rsid w:val="008405BD"/>
    <w:rsid w:val="0084654A"/>
    <w:rsid w:val="00847046"/>
    <w:rsid w:val="008472AA"/>
    <w:rsid w:val="00850FB8"/>
    <w:rsid w:val="00853C29"/>
    <w:rsid w:val="008549A0"/>
    <w:rsid w:val="00856236"/>
    <w:rsid w:val="008679A3"/>
    <w:rsid w:val="0087159E"/>
    <w:rsid w:val="0087312C"/>
    <w:rsid w:val="00880D7C"/>
    <w:rsid w:val="00883702"/>
    <w:rsid w:val="00887F58"/>
    <w:rsid w:val="00894ACC"/>
    <w:rsid w:val="008A05A4"/>
    <w:rsid w:val="008A0C4B"/>
    <w:rsid w:val="008A0DA0"/>
    <w:rsid w:val="008A325B"/>
    <w:rsid w:val="008A5769"/>
    <w:rsid w:val="008A7717"/>
    <w:rsid w:val="008B6387"/>
    <w:rsid w:val="008C3101"/>
    <w:rsid w:val="008C42BA"/>
    <w:rsid w:val="008D0499"/>
    <w:rsid w:val="008D10A9"/>
    <w:rsid w:val="008D2216"/>
    <w:rsid w:val="008D478C"/>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543C"/>
    <w:rsid w:val="00926835"/>
    <w:rsid w:val="009313CC"/>
    <w:rsid w:val="00934D8A"/>
    <w:rsid w:val="009375A8"/>
    <w:rsid w:val="00942DBD"/>
    <w:rsid w:val="009433EC"/>
    <w:rsid w:val="00944266"/>
    <w:rsid w:val="00946FF7"/>
    <w:rsid w:val="00947580"/>
    <w:rsid w:val="009475C7"/>
    <w:rsid w:val="00947E2B"/>
    <w:rsid w:val="009520E8"/>
    <w:rsid w:val="009551C1"/>
    <w:rsid w:val="00955641"/>
    <w:rsid w:val="00960B63"/>
    <w:rsid w:val="00961376"/>
    <w:rsid w:val="009617DA"/>
    <w:rsid w:val="00962CEB"/>
    <w:rsid w:val="00963E6E"/>
    <w:rsid w:val="009651D0"/>
    <w:rsid w:val="00965B74"/>
    <w:rsid w:val="0096755B"/>
    <w:rsid w:val="00967589"/>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E14"/>
    <w:rsid w:val="009A45A8"/>
    <w:rsid w:val="009B053A"/>
    <w:rsid w:val="009B3B3F"/>
    <w:rsid w:val="009B3EB2"/>
    <w:rsid w:val="009B6734"/>
    <w:rsid w:val="009D00F4"/>
    <w:rsid w:val="009D08A1"/>
    <w:rsid w:val="009D0CE9"/>
    <w:rsid w:val="009D439D"/>
    <w:rsid w:val="009D4C2B"/>
    <w:rsid w:val="009D516D"/>
    <w:rsid w:val="009E0AA7"/>
    <w:rsid w:val="009E1788"/>
    <w:rsid w:val="009E3DEC"/>
    <w:rsid w:val="009E5028"/>
    <w:rsid w:val="009E55F8"/>
    <w:rsid w:val="009F2DFA"/>
    <w:rsid w:val="009F3D9B"/>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4EBE"/>
    <w:rsid w:val="00A4315B"/>
    <w:rsid w:val="00A4486A"/>
    <w:rsid w:val="00A4515A"/>
    <w:rsid w:val="00A51DEA"/>
    <w:rsid w:val="00A53390"/>
    <w:rsid w:val="00A54B12"/>
    <w:rsid w:val="00A55620"/>
    <w:rsid w:val="00A56532"/>
    <w:rsid w:val="00A66862"/>
    <w:rsid w:val="00A71161"/>
    <w:rsid w:val="00A723DA"/>
    <w:rsid w:val="00A7289C"/>
    <w:rsid w:val="00A74EEF"/>
    <w:rsid w:val="00A75E0A"/>
    <w:rsid w:val="00A75E47"/>
    <w:rsid w:val="00A76998"/>
    <w:rsid w:val="00A77C06"/>
    <w:rsid w:val="00A77EF7"/>
    <w:rsid w:val="00A77FC7"/>
    <w:rsid w:val="00A811E4"/>
    <w:rsid w:val="00A86B43"/>
    <w:rsid w:val="00A8711C"/>
    <w:rsid w:val="00A90400"/>
    <w:rsid w:val="00AA698F"/>
    <w:rsid w:val="00AA793C"/>
    <w:rsid w:val="00AA7A78"/>
    <w:rsid w:val="00AB3CEC"/>
    <w:rsid w:val="00AB5803"/>
    <w:rsid w:val="00AB5CDE"/>
    <w:rsid w:val="00AC128B"/>
    <w:rsid w:val="00AC156C"/>
    <w:rsid w:val="00AC21C3"/>
    <w:rsid w:val="00AC24F6"/>
    <w:rsid w:val="00AD4900"/>
    <w:rsid w:val="00AD65CD"/>
    <w:rsid w:val="00AD6FF0"/>
    <w:rsid w:val="00AE28A4"/>
    <w:rsid w:val="00AF0E1A"/>
    <w:rsid w:val="00AF4F2C"/>
    <w:rsid w:val="00AF6551"/>
    <w:rsid w:val="00AF7E51"/>
    <w:rsid w:val="00B03F33"/>
    <w:rsid w:val="00B04B64"/>
    <w:rsid w:val="00B06974"/>
    <w:rsid w:val="00B06DCE"/>
    <w:rsid w:val="00B11F3F"/>
    <w:rsid w:val="00B13A4A"/>
    <w:rsid w:val="00B144A9"/>
    <w:rsid w:val="00B15BF7"/>
    <w:rsid w:val="00B22375"/>
    <w:rsid w:val="00B27016"/>
    <w:rsid w:val="00B3237C"/>
    <w:rsid w:val="00B32E77"/>
    <w:rsid w:val="00B35092"/>
    <w:rsid w:val="00B366DC"/>
    <w:rsid w:val="00B42216"/>
    <w:rsid w:val="00B42E8C"/>
    <w:rsid w:val="00B4354E"/>
    <w:rsid w:val="00B453CC"/>
    <w:rsid w:val="00B52060"/>
    <w:rsid w:val="00B55D27"/>
    <w:rsid w:val="00B564FA"/>
    <w:rsid w:val="00B56C18"/>
    <w:rsid w:val="00B62AD6"/>
    <w:rsid w:val="00B63222"/>
    <w:rsid w:val="00B638DF"/>
    <w:rsid w:val="00B66FF4"/>
    <w:rsid w:val="00B70BA1"/>
    <w:rsid w:val="00B758FC"/>
    <w:rsid w:val="00B75DCA"/>
    <w:rsid w:val="00B82DCF"/>
    <w:rsid w:val="00B83A90"/>
    <w:rsid w:val="00B83DA7"/>
    <w:rsid w:val="00B9277F"/>
    <w:rsid w:val="00B95F3C"/>
    <w:rsid w:val="00B965D5"/>
    <w:rsid w:val="00B967AE"/>
    <w:rsid w:val="00BA05E5"/>
    <w:rsid w:val="00BA71C9"/>
    <w:rsid w:val="00BA781A"/>
    <w:rsid w:val="00BA7AC8"/>
    <w:rsid w:val="00BB5B8F"/>
    <w:rsid w:val="00BC00F1"/>
    <w:rsid w:val="00BC07F2"/>
    <w:rsid w:val="00BC1D0F"/>
    <w:rsid w:val="00BC21DF"/>
    <w:rsid w:val="00BC293E"/>
    <w:rsid w:val="00BC64D3"/>
    <w:rsid w:val="00BC77E4"/>
    <w:rsid w:val="00BD15A7"/>
    <w:rsid w:val="00BD2844"/>
    <w:rsid w:val="00BD3CA4"/>
    <w:rsid w:val="00BE31F6"/>
    <w:rsid w:val="00BE642D"/>
    <w:rsid w:val="00BE6DFA"/>
    <w:rsid w:val="00BF0936"/>
    <w:rsid w:val="00BF0B73"/>
    <w:rsid w:val="00BF1C37"/>
    <w:rsid w:val="00BF4654"/>
    <w:rsid w:val="00BF4CA4"/>
    <w:rsid w:val="00BF63CA"/>
    <w:rsid w:val="00BF7ED9"/>
    <w:rsid w:val="00C007BF"/>
    <w:rsid w:val="00C0125C"/>
    <w:rsid w:val="00C024DF"/>
    <w:rsid w:val="00C10274"/>
    <w:rsid w:val="00C10FF9"/>
    <w:rsid w:val="00C11723"/>
    <w:rsid w:val="00C128F5"/>
    <w:rsid w:val="00C14882"/>
    <w:rsid w:val="00C1643A"/>
    <w:rsid w:val="00C16C56"/>
    <w:rsid w:val="00C16D30"/>
    <w:rsid w:val="00C17083"/>
    <w:rsid w:val="00C2211C"/>
    <w:rsid w:val="00C24D13"/>
    <w:rsid w:val="00C2568C"/>
    <w:rsid w:val="00C26310"/>
    <w:rsid w:val="00C26CA5"/>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2EF6"/>
    <w:rsid w:val="00C733C9"/>
    <w:rsid w:val="00C75C14"/>
    <w:rsid w:val="00C76498"/>
    <w:rsid w:val="00C767A1"/>
    <w:rsid w:val="00C80BF3"/>
    <w:rsid w:val="00C8199D"/>
    <w:rsid w:val="00C81F40"/>
    <w:rsid w:val="00C81FB5"/>
    <w:rsid w:val="00C83962"/>
    <w:rsid w:val="00C848FC"/>
    <w:rsid w:val="00C853CA"/>
    <w:rsid w:val="00C86D35"/>
    <w:rsid w:val="00C918A8"/>
    <w:rsid w:val="00C924AC"/>
    <w:rsid w:val="00C964F5"/>
    <w:rsid w:val="00C97373"/>
    <w:rsid w:val="00CA3136"/>
    <w:rsid w:val="00CA7954"/>
    <w:rsid w:val="00CA7B8B"/>
    <w:rsid w:val="00CB02EA"/>
    <w:rsid w:val="00CB095F"/>
    <w:rsid w:val="00CB10DC"/>
    <w:rsid w:val="00CB22C9"/>
    <w:rsid w:val="00CB45F2"/>
    <w:rsid w:val="00CB774F"/>
    <w:rsid w:val="00CC47EB"/>
    <w:rsid w:val="00CD0740"/>
    <w:rsid w:val="00CE0281"/>
    <w:rsid w:val="00CE1C85"/>
    <w:rsid w:val="00CE4C52"/>
    <w:rsid w:val="00CE5C93"/>
    <w:rsid w:val="00CF67CD"/>
    <w:rsid w:val="00D02727"/>
    <w:rsid w:val="00D0288A"/>
    <w:rsid w:val="00D04235"/>
    <w:rsid w:val="00D04B6A"/>
    <w:rsid w:val="00D1086F"/>
    <w:rsid w:val="00D11F9A"/>
    <w:rsid w:val="00D12894"/>
    <w:rsid w:val="00D12E22"/>
    <w:rsid w:val="00D14B2B"/>
    <w:rsid w:val="00D208FF"/>
    <w:rsid w:val="00D20BA7"/>
    <w:rsid w:val="00D223ED"/>
    <w:rsid w:val="00D251A7"/>
    <w:rsid w:val="00D264AE"/>
    <w:rsid w:val="00D30318"/>
    <w:rsid w:val="00D313F4"/>
    <w:rsid w:val="00D319CA"/>
    <w:rsid w:val="00D35487"/>
    <w:rsid w:val="00D3788B"/>
    <w:rsid w:val="00D4455D"/>
    <w:rsid w:val="00D446A8"/>
    <w:rsid w:val="00D5278B"/>
    <w:rsid w:val="00D52945"/>
    <w:rsid w:val="00D53B35"/>
    <w:rsid w:val="00D5552C"/>
    <w:rsid w:val="00D56070"/>
    <w:rsid w:val="00D56186"/>
    <w:rsid w:val="00D56916"/>
    <w:rsid w:val="00D60DE8"/>
    <w:rsid w:val="00D638D8"/>
    <w:rsid w:val="00D649D7"/>
    <w:rsid w:val="00D65FE2"/>
    <w:rsid w:val="00D70F90"/>
    <w:rsid w:val="00D71D7D"/>
    <w:rsid w:val="00D8225A"/>
    <w:rsid w:val="00D853BA"/>
    <w:rsid w:val="00D85816"/>
    <w:rsid w:val="00D94526"/>
    <w:rsid w:val="00D9482B"/>
    <w:rsid w:val="00D956D4"/>
    <w:rsid w:val="00D95D19"/>
    <w:rsid w:val="00DA2267"/>
    <w:rsid w:val="00DA2DE4"/>
    <w:rsid w:val="00DA5457"/>
    <w:rsid w:val="00DA56C0"/>
    <w:rsid w:val="00DB2FE5"/>
    <w:rsid w:val="00DB426C"/>
    <w:rsid w:val="00DB4DBD"/>
    <w:rsid w:val="00DB5ECA"/>
    <w:rsid w:val="00DC005C"/>
    <w:rsid w:val="00DC6B66"/>
    <w:rsid w:val="00DD7870"/>
    <w:rsid w:val="00DE0847"/>
    <w:rsid w:val="00DE3512"/>
    <w:rsid w:val="00DE5A16"/>
    <w:rsid w:val="00DF1497"/>
    <w:rsid w:val="00DF2629"/>
    <w:rsid w:val="00DF3D0F"/>
    <w:rsid w:val="00E00044"/>
    <w:rsid w:val="00E0216C"/>
    <w:rsid w:val="00E021AE"/>
    <w:rsid w:val="00E03A32"/>
    <w:rsid w:val="00E049C0"/>
    <w:rsid w:val="00E04E11"/>
    <w:rsid w:val="00E0533A"/>
    <w:rsid w:val="00E1374B"/>
    <w:rsid w:val="00E14975"/>
    <w:rsid w:val="00E1727A"/>
    <w:rsid w:val="00E173D6"/>
    <w:rsid w:val="00E21822"/>
    <w:rsid w:val="00E2321C"/>
    <w:rsid w:val="00E236B4"/>
    <w:rsid w:val="00E23CBC"/>
    <w:rsid w:val="00E2597E"/>
    <w:rsid w:val="00E2792F"/>
    <w:rsid w:val="00E34887"/>
    <w:rsid w:val="00E357AE"/>
    <w:rsid w:val="00E35ED9"/>
    <w:rsid w:val="00E413E7"/>
    <w:rsid w:val="00E45571"/>
    <w:rsid w:val="00E45AAE"/>
    <w:rsid w:val="00E50BFE"/>
    <w:rsid w:val="00E53BCE"/>
    <w:rsid w:val="00E54FD8"/>
    <w:rsid w:val="00E550B5"/>
    <w:rsid w:val="00E56066"/>
    <w:rsid w:val="00E57A85"/>
    <w:rsid w:val="00E60277"/>
    <w:rsid w:val="00E6413C"/>
    <w:rsid w:val="00E64F83"/>
    <w:rsid w:val="00E714C4"/>
    <w:rsid w:val="00E7312C"/>
    <w:rsid w:val="00E7351C"/>
    <w:rsid w:val="00E73DC4"/>
    <w:rsid w:val="00E73DF8"/>
    <w:rsid w:val="00E740EE"/>
    <w:rsid w:val="00E74D77"/>
    <w:rsid w:val="00E765CE"/>
    <w:rsid w:val="00E765EA"/>
    <w:rsid w:val="00E81B0E"/>
    <w:rsid w:val="00E940FA"/>
    <w:rsid w:val="00E943AA"/>
    <w:rsid w:val="00E975BE"/>
    <w:rsid w:val="00E97C3B"/>
    <w:rsid w:val="00EA38B8"/>
    <w:rsid w:val="00EA492B"/>
    <w:rsid w:val="00EA49AC"/>
    <w:rsid w:val="00EA4A62"/>
    <w:rsid w:val="00EA558E"/>
    <w:rsid w:val="00EB285F"/>
    <w:rsid w:val="00EB3B97"/>
    <w:rsid w:val="00EB4FAC"/>
    <w:rsid w:val="00EB63C2"/>
    <w:rsid w:val="00EB7E47"/>
    <w:rsid w:val="00EC5E61"/>
    <w:rsid w:val="00ED3417"/>
    <w:rsid w:val="00ED38C1"/>
    <w:rsid w:val="00ED4A6E"/>
    <w:rsid w:val="00ED4A8C"/>
    <w:rsid w:val="00ED5A1B"/>
    <w:rsid w:val="00ED6B69"/>
    <w:rsid w:val="00ED6C6D"/>
    <w:rsid w:val="00EE4781"/>
    <w:rsid w:val="00EE77FE"/>
    <w:rsid w:val="00EF52FD"/>
    <w:rsid w:val="00EF542D"/>
    <w:rsid w:val="00EF6812"/>
    <w:rsid w:val="00EF774F"/>
    <w:rsid w:val="00F00495"/>
    <w:rsid w:val="00F01B04"/>
    <w:rsid w:val="00F03AF2"/>
    <w:rsid w:val="00F16D4F"/>
    <w:rsid w:val="00F204C8"/>
    <w:rsid w:val="00F231E9"/>
    <w:rsid w:val="00F253EB"/>
    <w:rsid w:val="00F25E64"/>
    <w:rsid w:val="00F26AC6"/>
    <w:rsid w:val="00F30FCB"/>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255F"/>
    <w:rsid w:val="00F728BE"/>
    <w:rsid w:val="00F77100"/>
    <w:rsid w:val="00F801C8"/>
    <w:rsid w:val="00F81196"/>
    <w:rsid w:val="00F817A8"/>
    <w:rsid w:val="00F8180F"/>
    <w:rsid w:val="00F82C68"/>
    <w:rsid w:val="00F83379"/>
    <w:rsid w:val="00F91328"/>
    <w:rsid w:val="00F97586"/>
    <w:rsid w:val="00FA1F18"/>
    <w:rsid w:val="00FA2B97"/>
    <w:rsid w:val="00FA3934"/>
    <w:rsid w:val="00FB6686"/>
    <w:rsid w:val="00FD0EF8"/>
    <w:rsid w:val="00FD1936"/>
    <w:rsid w:val="00FD3173"/>
    <w:rsid w:val="00FD5463"/>
    <w:rsid w:val="00FD73B3"/>
    <w:rsid w:val="00FE1450"/>
    <w:rsid w:val="00FE5119"/>
    <w:rsid w:val="00FF00A3"/>
    <w:rsid w:val="00FF0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cp:revision>
  <cp:lastPrinted>2022-08-03T04:58:00Z</cp:lastPrinted>
  <dcterms:created xsi:type="dcterms:W3CDTF">2026-01-25T11:26:00Z</dcterms:created>
  <dcterms:modified xsi:type="dcterms:W3CDTF">2026-02-17T14:09:00Z</dcterms:modified>
</cp:coreProperties>
</file>