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504AE" w14:textId="5E4A57BA" w:rsidR="008A05A4" w:rsidRDefault="006512C9" w:rsidP="008A05A4">
      <w:pPr>
        <w:jc w:val="center"/>
        <w:rPr>
          <w:sz w:val="22"/>
          <w:szCs w:val="22"/>
        </w:rPr>
      </w:pPr>
      <w:r>
        <w:rPr>
          <w:noProof/>
          <w:sz w:val="22"/>
          <w:szCs w:val="22"/>
        </w:rPr>
        <w:drawing>
          <wp:inline distT="0" distB="0" distL="0" distR="0" wp14:anchorId="60359F58" wp14:editId="069D5ECB">
            <wp:extent cx="5480685" cy="817245"/>
            <wp:effectExtent l="0" t="0" r="5715" b="1905"/>
            <wp:docPr id="19050434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0685" cy="817245"/>
                    </a:xfrm>
                    <a:prstGeom prst="rect">
                      <a:avLst/>
                    </a:prstGeom>
                    <a:noFill/>
                  </pic:spPr>
                </pic:pic>
              </a:graphicData>
            </a:graphic>
          </wp:inline>
        </w:drawing>
      </w:r>
    </w:p>
    <w:p w14:paraId="1A818791" w14:textId="138B0D25" w:rsidR="008679A3" w:rsidRDefault="00F30FCB" w:rsidP="00F30FCB">
      <w:pPr>
        <w:rPr>
          <w:sz w:val="22"/>
          <w:szCs w:val="22"/>
        </w:rPr>
      </w:pPr>
      <w:r>
        <w:rPr>
          <w:sz w:val="22"/>
          <w:szCs w:val="22"/>
        </w:rPr>
        <w:t xml:space="preserve">January 2026 </w:t>
      </w:r>
    </w:p>
    <w:p w14:paraId="5D1D9DC3" w14:textId="77777777" w:rsidR="00F30FCB" w:rsidRDefault="00F30FCB" w:rsidP="00F30FCB">
      <w:pPr>
        <w:rPr>
          <w:sz w:val="22"/>
          <w:szCs w:val="22"/>
        </w:rPr>
      </w:pPr>
    </w:p>
    <w:p w14:paraId="121B2AFB" w14:textId="7D155B11" w:rsidR="00316C31" w:rsidRDefault="00316C31" w:rsidP="00316C31">
      <w:pPr>
        <w:jc w:val="center"/>
        <w:rPr>
          <w:b/>
          <w:bCs/>
          <w:sz w:val="22"/>
          <w:szCs w:val="22"/>
        </w:rPr>
      </w:pPr>
      <w:r w:rsidRPr="00316C31">
        <w:rPr>
          <w:b/>
          <w:bCs/>
          <w:sz w:val="22"/>
          <w:szCs w:val="22"/>
        </w:rPr>
        <w:t>Emergency Lighting Guidance</w:t>
      </w:r>
    </w:p>
    <w:p w14:paraId="55AF6C22" w14:textId="5FDAE1D5" w:rsidR="00C83962" w:rsidRPr="00C83962" w:rsidRDefault="00C83962" w:rsidP="00C83962">
      <w:pPr>
        <w:rPr>
          <w:b/>
          <w:bCs/>
          <w:sz w:val="22"/>
          <w:szCs w:val="22"/>
        </w:rPr>
      </w:pPr>
    </w:p>
    <w:p w14:paraId="45D43502" w14:textId="77777777" w:rsidR="00C83962" w:rsidRDefault="00C83962" w:rsidP="00C83962">
      <w:pPr>
        <w:rPr>
          <w:b/>
          <w:bCs/>
          <w:sz w:val="22"/>
          <w:szCs w:val="22"/>
        </w:rPr>
      </w:pPr>
      <w:r w:rsidRPr="00C83962">
        <w:rPr>
          <w:b/>
          <w:bCs/>
          <w:sz w:val="22"/>
          <w:szCs w:val="22"/>
        </w:rPr>
        <w:t xml:space="preserve">The current emergency lighting provision, locations, types, lux levels etc is not sufficient and the overall site is to be given a full out-of-hours lux test as soon as is practicable, the current incumbent for this work is the fire alarm contractor who is not UKAS certified for this work so alternate arrangements need to be implemented and details of a suitably qualified provider are included in the report, it is essential due to complex elements on site and the overall average that the emergency provision is above the minimum requirements for BS 5266. </w:t>
      </w:r>
    </w:p>
    <w:p w14:paraId="3F73131E" w14:textId="77777777" w:rsidR="00C83962" w:rsidRPr="00C83962" w:rsidRDefault="00C83962" w:rsidP="00C83962">
      <w:pPr>
        <w:rPr>
          <w:b/>
          <w:bCs/>
          <w:sz w:val="22"/>
          <w:szCs w:val="22"/>
        </w:rPr>
      </w:pPr>
    </w:p>
    <w:p w14:paraId="790273B3" w14:textId="77777777" w:rsidR="00C83962" w:rsidRDefault="00C83962" w:rsidP="00C83962">
      <w:pPr>
        <w:rPr>
          <w:b/>
          <w:bCs/>
          <w:sz w:val="22"/>
          <w:szCs w:val="22"/>
        </w:rPr>
      </w:pPr>
      <w:r w:rsidRPr="00C83962">
        <w:rPr>
          <w:b/>
          <w:bCs/>
          <w:sz w:val="22"/>
          <w:szCs w:val="22"/>
        </w:rPr>
        <w:t>The normal height for mounting luminaires should be at least 2m * but the mounting height might need to be adjusted for the application taking into account the effects of glare, the need to be below the build-up of smoke in smoke reservoirs, including issues in specific buildings or to highlight specific issues and hazards such as stairs.</w:t>
      </w:r>
    </w:p>
    <w:p w14:paraId="776581A3" w14:textId="77777777" w:rsidR="00C83962" w:rsidRPr="00C83962" w:rsidRDefault="00C83962" w:rsidP="00C83962">
      <w:pPr>
        <w:rPr>
          <w:b/>
          <w:bCs/>
          <w:sz w:val="22"/>
          <w:szCs w:val="22"/>
        </w:rPr>
      </w:pPr>
    </w:p>
    <w:p w14:paraId="6E1DA265" w14:textId="00FA28B5" w:rsidR="00C83962" w:rsidRDefault="00C83962" w:rsidP="00C83962">
      <w:pPr>
        <w:numPr>
          <w:ilvl w:val="0"/>
          <w:numId w:val="14"/>
        </w:numPr>
        <w:rPr>
          <w:b/>
          <w:bCs/>
          <w:sz w:val="22"/>
          <w:szCs w:val="22"/>
        </w:rPr>
      </w:pPr>
      <w:r w:rsidRPr="00C83962">
        <w:rPr>
          <w:b/>
          <w:bCs/>
          <w:sz w:val="22"/>
          <w:szCs w:val="22"/>
        </w:rPr>
        <w:t>Mounting height notes as specified in BS EN 1838-2013</w:t>
      </w:r>
    </w:p>
    <w:p w14:paraId="449546E1" w14:textId="77777777" w:rsidR="00C83962" w:rsidRPr="00C83962" w:rsidRDefault="00C83962" w:rsidP="00C83962">
      <w:pPr>
        <w:ind w:left="720"/>
        <w:rPr>
          <w:b/>
          <w:bCs/>
          <w:sz w:val="22"/>
          <w:szCs w:val="22"/>
        </w:rPr>
      </w:pPr>
    </w:p>
    <w:p w14:paraId="01EBED03" w14:textId="77777777" w:rsidR="00C83962" w:rsidRPr="00C83962" w:rsidRDefault="00C83962" w:rsidP="00C83962">
      <w:pPr>
        <w:rPr>
          <w:b/>
          <w:bCs/>
          <w:sz w:val="22"/>
          <w:szCs w:val="22"/>
        </w:rPr>
      </w:pPr>
      <w:r w:rsidRPr="00C83962">
        <w:rPr>
          <w:b/>
          <w:bCs/>
          <w:sz w:val="22"/>
          <w:szCs w:val="22"/>
        </w:rPr>
        <w:t>Suitable lighting should be provided to all premises to enable the safe movement of persons along escape routes to a place of relative safety. Escape lighting meeting the standards given in BS 5266-1:2016 should be provided.</w:t>
      </w:r>
    </w:p>
    <w:p w14:paraId="52F04A5B" w14:textId="77777777" w:rsidR="00C83962" w:rsidRDefault="00C83962" w:rsidP="00C83962">
      <w:pPr>
        <w:rPr>
          <w:b/>
          <w:bCs/>
          <w:sz w:val="22"/>
          <w:szCs w:val="22"/>
        </w:rPr>
      </w:pPr>
      <w:r w:rsidRPr="00C83962">
        <w:rPr>
          <w:b/>
          <w:bCs/>
          <w:sz w:val="22"/>
          <w:szCs w:val="22"/>
        </w:rPr>
        <w:t>Every doorway or other exit providing access to a means of escape, other than exits in ordinary use, should be distinctively marked by an exit sign in accordance with BS 5499-4:2013 [10].</w:t>
      </w:r>
    </w:p>
    <w:p w14:paraId="29DAC071" w14:textId="77777777" w:rsidR="00C83962" w:rsidRPr="00C83962" w:rsidRDefault="00C83962" w:rsidP="00C83962">
      <w:pPr>
        <w:rPr>
          <w:b/>
          <w:bCs/>
          <w:sz w:val="22"/>
          <w:szCs w:val="22"/>
        </w:rPr>
      </w:pPr>
    </w:p>
    <w:p w14:paraId="7CAD2A72" w14:textId="77777777" w:rsidR="00C83962" w:rsidRDefault="00C83962" w:rsidP="00C83962">
      <w:pPr>
        <w:rPr>
          <w:b/>
          <w:bCs/>
          <w:sz w:val="22"/>
          <w:szCs w:val="22"/>
        </w:rPr>
      </w:pPr>
      <w:r w:rsidRPr="00C83962">
        <w:rPr>
          <w:b/>
          <w:bCs/>
          <w:sz w:val="22"/>
          <w:szCs w:val="22"/>
        </w:rPr>
        <w:t xml:space="preserve">Escape route signage has been provided above all exit routes (doors), storeys and the final exit doors within the building. The signage is not illuminated and therefore there should be a provision for an emergency light unit to be located within 2m of each sign. </w:t>
      </w:r>
    </w:p>
    <w:p w14:paraId="7DC09ECC" w14:textId="77777777" w:rsidR="00C83962" w:rsidRDefault="00C83962" w:rsidP="00C83962">
      <w:pPr>
        <w:rPr>
          <w:b/>
          <w:bCs/>
          <w:sz w:val="22"/>
          <w:szCs w:val="22"/>
        </w:rPr>
      </w:pPr>
    </w:p>
    <w:p w14:paraId="67615CBA" w14:textId="1A4254EC" w:rsidR="00C83962" w:rsidRDefault="00C83962" w:rsidP="00C83962">
      <w:pPr>
        <w:rPr>
          <w:b/>
          <w:bCs/>
          <w:sz w:val="22"/>
          <w:szCs w:val="22"/>
        </w:rPr>
      </w:pPr>
      <w:r w:rsidRPr="00C83962">
        <w:rPr>
          <w:b/>
          <w:bCs/>
          <w:sz w:val="22"/>
          <w:szCs w:val="22"/>
        </w:rPr>
        <w:t xml:space="preserve">BS 5266 specifies the require sign measurement per max viewing distance or illuminated by a light onto Phosphorent (Photoluminescent) material therefore creating the requirements laid out in the Health and Safety Signs and Signals Regulations 1996 of all signs retaining their intrinsic information in a power failure, reference Normative references in 5266 and health and Safety Signs and Signals Regulations 1996. </w:t>
      </w:r>
    </w:p>
    <w:p w14:paraId="44B1846D" w14:textId="77777777" w:rsidR="00C83962" w:rsidRPr="00C83962" w:rsidRDefault="00C83962" w:rsidP="00C83962">
      <w:pPr>
        <w:rPr>
          <w:b/>
          <w:bCs/>
          <w:sz w:val="22"/>
          <w:szCs w:val="22"/>
        </w:rPr>
      </w:pPr>
    </w:p>
    <w:p w14:paraId="1D2F29FB" w14:textId="0407C6E5" w:rsidR="00C83962" w:rsidRDefault="00C83962" w:rsidP="00C83962">
      <w:pPr>
        <w:rPr>
          <w:b/>
          <w:bCs/>
          <w:sz w:val="22"/>
          <w:szCs w:val="22"/>
        </w:rPr>
      </w:pPr>
      <w:hyperlink r:id="rId9" w:history="1">
        <w:r w:rsidRPr="00B91A7B">
          <w:rPr>
            <w:rStyle w:val="Hyperlink"/>
            <w:b/>
            <w:bCs/>
            <w:sz w:val="22"/>
            <w:szCs w:val="22"/>
          </w:rPr>
          <w:t>https://www.hse.gov.uk/pubns/priced/l64.pdf</w:t>
        </w:r>
      </w:hyperlink>
    </w:p>
    <w:p w14:paraId="454F5CCC" w14:textId="77777777" w:rsidR="00C83962" w:rsidRPr="00C83962" w:rsidRDefault="00C83962" w:rsidP="00C83962">
      <w:pPr>
        <w:rPr>
          <w:b/>
          <w:bCs/>
          <w:sz w:val="22"/>
          <w:szCs w:val="22"/>
        </w:rPr>
      </w:pPr>
    </w:p>
    <w:p w14:paraId="356A56EE" w14:textId="77777777" w:rsidR="00C83962" w:rsidRDefault="00C83962" w:rsidP="00C83962">
      <w:pPr>
        <w:rPr>
          <w:b/>
          <w:bCs/>
          <w:sz w:val="22"/>
          <w:szCs w:val="22"/>
        </w:rPr>
      </w:pPr>
      <w:r w:rsidRPr="00C83962">
        <w:rPr>
          <w:b/>
          <w:bCs/>
          <w:sz w:val="22"/>
          <w:szCs w:val="22"/>
        </w:rPr>
        <w:t>This is displayed below:</w:t>
      </w:r>
    </w:p>
    <w:p w14:paraId="7F6534A0" w14:textId="77777777" w:rsidR="00C83962" w:rsidRPr="00C83962" w:rsidRDefault="00C83962" w:rsidP="00C83962">
      <w:pPr>
        <w:rPr>
          <w:b/>
          <w:bCs/>
          <w:sz w:val="22"/>
          <w:szCs w:val="22"/>
        </w:rPr>
      </w:pPr>
    </w:p>
    <w:p w14:paraId="4B95ACA5" w14:textId="77777777" w:rsidR="00C83962" w:rsidRDefault="00C83962" w:rsidP="00C83962">
      <w:pPr>
        <w:rPr>
          <w:b/>
          <w:bCs/>
          <w:sz w:val="22"/>
          <w:szCs w:val="22"/>
        </w:rPr>
      </w:pPr>
      <w:r w:rsidRPr="00C83962">
        <w:rPr>
          <w:b/>
          <w:bCs/>
          <w:sz w:val="22"/>
          <w:szCs w:val="22"/>
        </w:rPr>
        <w:t>Suitable lighting should be provided to all premises to enable the safe movement of persons along escape routes to a place of relative safety. Escape lighting meeting the standards given in BS 5266-1:2016 should be provided, BS 5266-1. Emergency lighting – Part 1: Code of practice for the emergency lighting of premises.</w:t>
      </w:r>
    </w:p>
    <w:p w14:paraId="7B593278" w14:textId="77777777" w:rsidR="00C83962" w:rsidRPr="00C83962" w:rsidRDefault="00C83962" w:rsidP="00C83962">
      <w:pPr>
        <w:rPr>
          <w:b/>
          <w:bCs/>
          <w:sz w:val="22"/>
          <w:szCs w:val="22"/>
        </w:rPr>
      </w:pPr>
    </w:p>
    <w:p w14:paraId="480D1B05" w14:textId="77777777" w:rsidR="00C83962" w:rsidRDefault="00C83962" w:rsidP="00C83962">
      <w:pPr>
        <w:rPr>
          <w:b/>
          <w:bCs/>
          <w:sz w:val="22"/>
          <w:szCs w:val="22"/>
        </w:rPr>
      </w:pPr>
      <w:r w:rsidRPr="00C83962">
        <w:rPr>
          <w:b/>
          <w:bCs/>
          <w:sz w:val="22"/>
          <w:szCs w:val="22"/>
        </w:rPr>
        <w:t>100 lux should be provided in the general lighting for illumination levels as per the CIBSE guidance within the Means of Escape Egress and Evacuation routes.</w:t>
      </w:r>
    </w:p>
    <w:p w14:paraId="110DE483" w14:textId="77777777" w:rsidR="00C83962" w:rsidRPr="00C83962" w:rsidRDefault="00C83962" w:rsidP="00C83962">
      <w:pPr>
        <w:rPr>
          <w:b/>
          <w:bCs/>
          <w:sz w:val="22"/>
          <w:szCs w:val="22"/>
        </w:rPr>
      </w:pPr>
    </w:p>
    <w:p w14:paraId="39D269EE" w14:textId="77777777" w:rsidR="00C83962" w:rsidRDefault="00C83962" w:rsidP="00C83962">
      <w:pPr>
        <w:rPr>
          <w:b/>
          <w:bCs/>
          <w:sz w:val="22"/>
          <w:szCs w:val="22"/>
        </w:rPr>
      </w:pPr>
      <w:r w:rsidRPr="00C83962">
        <w:rPr>
          <w:b/>
          <w:bCs/>
          <w:sz w:val="22"/>
          <w:szCs w:val="22"/>
        </w:rPr>
        <w:t>Some of the key provisions of BS 5266-1 are:</w:t>
      </w:r>
    </w:p>
    <w:p w14:paraId="01FBF61F" w14:textId="77777777" w:rsidR="00C83962" w:rsidRPr="00C83962" w:rsidRDefault="00C83962" w:rsidP="00C83962">
      <w:pPr>
        <w:rPr>
          <w:b/>
          <w:bCs/>
          <w:sz w:val="22"/>
          <w:szCs w:val="22"/>
        </w:rPr>
      </w:pPr>
    </w:p>
    <w:p w14:paraId="5836A481" w14:textId="77777777" w:rsidR="00C83962" w:rsidRPr="00C83962" w:rsidRDefault="00C83962" w:rsidP="00C83962">
      <w:pPr>
        <w:rPr>
          <w:b/>
          <w:bCs/>
          <w:sz w:val="22"/>
          <w:szCs w:val="22"/>
        </w:rPr>
      </w:pPr>
      <w:r w:rsidRPr="00C83962">
        <w:rPr>
          <w:b/>
          <w:bCs/>
          <w:sz w:val="22"/>
          <w:szCs w:val="22"/>
        </w:rPr>
        <w:t>Minimum lux levels for emergency lighting. BS 5266-1 defines the minimum lux levels that should be provided.</w:t>
      </w:r>
    </w:p>
    <w:p w14:paraId="4351C8EC" w14:textId="77777777" w:rsidR="00C83962" w:rsidRPr="00C83962" w:rsidRDefault="00C83962" w:rsidP="00C83962">
      <w:pPr>
        <w:rPr>
          <w:b/>
          <w:bCs/>
          <w:sz w:val="22"/>
          <w:szCs w:val="22"/>
        </w:rPr>
      </w:pPr>
      <w:r w:rsidRPr="00C83962">
        <w:rPr>
          <w:b/>
          <w:bCs/>
          <w:sz w:val="22"/>
          <w:szCs w:val="22"/>
        </w:rPr>
        <w:t>Defined escape routes should be illuminated to a level of not less than 1 lux along their centre line at floor level.</w:t>
      </w:r>
    </w:p>
    <w:p w14:paraId="3395DA54" w14:textId="77777777" w:rsidR="00C83962" w:rsidRPr="00C83962" w:rsidRDefault="00C83962" w:rsidP="00C83962">
      <w:pPr>
        <w:rPr>
          <w:b/>
          <w:bCs/>
          <w:sz w:val="22"/>
          <w:szCs w:val="22"/>
        </w:rPr>
      </w:pPr>
      <w:r w:rsidRPr="00C83962">
        <w:rPr>
          <w:b/>
          <w:bCs/>
          <w:sz w:val="22"/>
          <w:szCs w:val="22"/>
        </w:rPr>
        <w:t>Open areas should be illuminated to a level of not less than 0.5 lux at floor level.</w:t>
      </w:r>
    </w:p>
    <w:p w14:paraId="16E5A521" w14:textId="77777777" w:rsidR="00C83962" w:rsidRDefault="00C83962" w:rsidP="00C83962">
      <w:pPr>
        <w:rPr>
          <w:b/>
          <w:bCs/>
          <w:sz w:val="22"/>
          <w:szCs w:val="22"/>
        </w:rPr>
      </w:pPr>
      <w:r w:rsidRPr="00C83962">
        <w:rPr>
          <w:b/>
          <w:bCs/>
          <w:sz w:val="22"/>
          <w:szCs w:val="22"/>
        </w:rPr>
        <w:t>High risk task areas should be illuminated to a level of not less than 10% of the average of the normal lighting provided at that point.</w:t>
      </w:r>
    </w:p>
    <w:p w14:paraId="20EFA2B9" w14:textId="77777777" w:rsidR="00C83962" w:rsidRPr="00C83962" w:rsidRDefault="00C83962" w:rsidP="00C83962">
      <w:pPr>
        <w:rPr>
          <w:b/>
          <w:bCs/>
          <w:sz w:val="22"/>
          <w:szCs w:val="22"/>
        </w:rPr>
      </w:pPr>
    </w:p>
    <w:p w14:paraId="02FCA9F3" w14:textId="77777777" w:rsidR="00C83962" w:rsidRDefault="00C83962" w:rsidP="00C83962">
      <w:pPr>
        <w:rPr>
          <w:b/>
          <w:bCs/>
          <w:sz w:val="22"/>
          <w:szCs w:val="22"/>
        </w:rPr>
      </w:pPr>
      <w:r w:rsidRPr="00C83962">
        <w:rPr>
          <w:b/>
          <w:bCs/>
          <w:sz w:val="22"/>
          <w:szCs w:val="22"/>
        </w:rPr>
        <w:t>The location of emergency light fittings should include. BS 5266-1 advises where emergency lighting should be located as follows:</w:t>
      </w:r>
    </w:p>
    <w:p w14:paraId="22D9FCFB" w14:textId="77777777" w:rsidR="00C83962" w:rsidRPr="00C83962" w:rsidRDefault="00C83962" w:rsidP="00C83962">
      <w:pPr>
        <w:rPr>
          <w:b/>
          <w:bCs/>
          <w:sz w:val="22"/>
          <w:szCs w:val="22"/>
        </w:rPr>
      </w:pPr>
    </w:p>
    <w:p w14:paraId="32108347" w14:textId="486AE750" w:rsidR="00C83962" w:rsidRDefault="00C83962" w:rsidP="00C83962">
      <w:pPr>
        <w:numPr>
          <w:ilvl w:val="0"/>
          <w:numId w:val="14"/>
        </w:numPr>
        <w:rPr>
          <w:b/>
          <w:bCs/>
          <w:sz w:val="22"/>
          <w:szCs w:val="22"/>
        </w:rPr>
      </w:pPr>
      <w:r w:rsidRPr="00C83962">
        <w:rPr>
          <w:b/>
          <w:bCs/>
          <w:sz w:val="22"/>
          <w:szCs w:val="22"/>
        </w:rPr>
        <w:t>Near each exit door intended to be used in an emergency</w:t>
      </w:r>
    </w:p>
    <w:p w14:paraId="3E8916E2" w14:textId="77777777" w:rsidR="00C83962" w:rsidRDefault="00C83962" w:rsidP="00C83962">
      <w:pPr>
        <w:numPr>
          <w:ilvl w:val="0"/>
          <w:numId w:val="14"/>
        </w:numPr>
        <w:rPr>
          <w:b/>
          <w:bCs/>
          <w:sz w:val="22"/>
          <w:szCs w:val="22"/>
        </w:rPr>
      </w:pPr>
      <w:r w:rsidRPr="00C83962">
        <w:rPr>
          <w:b/>
          <w:bCs/>
          <w:sz w:val="22"/>
          <w:szCs w:val="22"/>
        </w:rPr>
        <w:t>Near stairs, so that each flight receives direct light</w:t>
      </w:r>
    </w:p>
    <w:p w14:paraId="2C3FAFA6" w14:textId="77777777" w:rsidR="00C83962" w:rsidRDefault="00C83962" w:rsidP="00C83962">
      <w:pPr>
        <w:numPr>
          <w:ilvl w:val="0"/>
          <w:numId w:val="14"/>
        </w:numPr>
        <w:rPr>
          <w:b/>
          <w:bCs/>
          <w:sz w:val="22"/>
          <w:szCs w:val="22"/>
        </w:rPr>
      </w:pPr>
      <w:r w:rsidRPr="00C83962">
        <w:rPr>
          <w:b/>
          <w:bCs/>
          <w:sz w:val="22"/>
          <w:szCs w:val="22"/>
        </w:rPr>
        <w:t>Near any change in level</w:t>
      </w:r>
    </w:p>
    <w:p w14:paraId="22423B17" w14:textId="77777777" w:rsidR="00C83962" w:rsidRDefault="00C83962" w:rsidP="00C83962">
      <w:pPr>
        <w:numPr>
          <w:ilvl w:val="0"/>
          <w:numId w:val="14"/>
        </w:numPr>
        <w:rPr>
          <w:b/>
          <w:bCs/>
          <w:sz w:val="22"/>
          <w:szCs w:val="22"/>
        </w:rPr>
      </w:pPr>
      <w:r w:rsidRPr="00C83962">
        <w:rPr>
          <w:b/>
          <w:bCs/>
          <w:sz w:val="22"/>
          <w:szCs w:val="22"/>
        </w:rPr>
        <w:t>Externally illuminated escape route signs and other safety signs needing illumination under emergency lighting conditions</w:t>
      </w:r>
    </w:p>
    <w:p w14:paraId="61E19547" w14:textId="77777777" w:rsidR="00C83962" w:rsidRDefault="00C83962" w:rsidP="00C83962">
      <w:pPr>
        <w:numPr>
          <w:ilvl w:val="0"/>
          <w:numId w:val="14"/>
        </w:numPr>
        <w:rPr>
          <w:b/>
          <w:bCs/>
          <w:sz w:val="22"/>
          <w:szCs w:val="22"/>
        </w:rPr>
      </w:pPr>
      <w:r w:rsidRPr="00C83962">
        <w:rPr>
          <w:b/>
          <w:bCs/>
          <w:sz w:val="22"/>
          <w:szCs w:val="22"/>
        </w:rPr>
        <w:t>At each change of direction</w:t>
      </w:r>
    </w:p>
    <w:p w14:paraId="2628C047" w14:textId="77777777" w:rsidR="00C83962" w:rsidRDefault="00C83962" w:rsidP="00C83962">
      <w:pPr>
        <w:numPr>
          <w:ilvl w:val="0"/>
          <w:numId w:val="14"/>
        </w:numPr>
        <w:rPr>
          <w:b/>
          <w:bCs/>
          <w:sz w:val="22"/>
          <w:szCs w:val="22"/>
        </w:rPr>
      </w:pPr>
      <w:r w:rsidRPr="00C83962">
        <w:rPr>
          <w:b/>
          <w:bCs/>
          <w:sz w:val="22"/>
          <w:szCs w:val="22"/>
        </w:rPr>
        <w:t>At each intersection of corridors</w:t>
      </w:r>
    </w:p>
    <w:p w14:paraId="04652476" w14:textId="77777777" w:rsidR="00C83962" w:rsidRDefault="00C83962" w:rsidP="00C83962">
      <w:pPr>
        <w:numPr>
          <w:ilvl w:val="0"/>
          <w:numId w:val="14"/>
        </w:numPr>
        <w:rPr>
          <w:b/>
          <w:bCs/>
          <w:sz w:val="22"/>
          <w:szCs w:val="22"/>
        </w:rPr>
      </w:pPr>
      <w:r w:rsidRPr="00C83962">
        <w:rPr>
          <w:b/>
          <w:bCs/>
          <w:sz w:val="22"/>
          <w:szCs w:val="22"/>
        </w:rPr>
        <w:t>Near each final exit to the outside of the building and to a place of safety</w:t>
      </w:r>
    </w:p>
    <w:p w14:paraId="37346CFA" w14:textId="77777777" w:rsidR="00C83962" w:rsidRDefault="00C83962" w:rsidP="00C83962">
      <w:pPr>
        <w:numPr>
          <w:ilvl w:val="0"/>
          <w:numId w:val="14"/>
        </w:numPr>
        <w:rPr>
          <w:b/>
          <w:bCs/>
          <w:sz w:val="22"/>
          <w:szCs w:val="22"/>
        </w:rPr>
      </w:pPr>
      <w:r w:rsidRPr="00C83962">
        <w:rPr>
          <w:b/>
          <w:bCs/>
          <w:sz w:val="22"/>
          <w:szCs w:val="22"/>
        </w:rPr>
        <w:t>Near each first aid post</w:t>
      </w:r>
    </w:p>
    <w:p w14:paraId="71458FCE" w14:textId="77777777" w:rsidR="00C83962" w:rsidRDefault="00C83962" w:rsidP="00C83962">
      <w:pPr>
        <w:numPr>
          <w:ilvl w:val="0"/>
          <w:numId w:val="14"/>
        </w:numPr>
        <w:rPr>
          <w:b/>
          <w:bCs/>
          <w:sz w:val="22"/>
          <w:szCs w:val="22"/>
        </w:rPr>
      </w:pPr>
      <w:r w:rsidRPr="00C83962">
        <w:rPr>
          <w:b/>
          <w:bCs/>
          <w:sz w:val="22"/>
          <w:szCs w:val="22"/>
        </w:rPr>
        <w:t>Near each piece of fire-fighting equipment and call point</w:t>
      </w:r>
    </w:p>
    <w:p w14:paraId="14AABBA3" w14:textId="77777777" w:rsidR="00C83962" w:rsidRDefault="00C83962" w:rsidP="00C83962">
      <w:pPr>
        <w:numPr>
          <w:ilvl w:val="0"/>
          <w:numId w:val="14"/>
        </w:numPr>
        <w:rPr>
          <w:b/>
          <w:bCs/>
          <w:sz w:val="22"/>
          <w:szCs w:val="22"/>
        </w:rPr>
      </w:pPr>
      <w:r w:rsidRPr="00C83962">
        <w:rPr>
          <w:b/>
          <w:bCs/>
          <w:sz w:val="22"/>
          <w:szCs w:val="22"/>
        </w:rPr>
        <w:t>Near escape equipment provided for disabled people</w:t>
      </w:r>
    </w:p>
    <w:p w14:paraId="74ED21F8" w14:textId="77777777" w:rsidR="00C83962" w:rsidRDefault="00C83962" w:rsidP="00C83962">
      <w:pPr>
        <w:numPr>
          <w:ilvl w:val="0"/>
          <w:numId w:val="14"/>
        </w:numPr>
        <w:rPr>
          <w:b/>
          <w:bCs/>
          <w:sz w:val="22"/>
          <w:szCs w:val="22"/>
        </w:rPr>
      </w:pPr>
      <w:r w:rsidRPr="00C83962">
        <w:rPr>
          <w:b/>
          <w:bCs/>
          <w:sz w:val="22"/>
          <w:szCs w:val="22"/>
        </w:rPr>
        <w:t>Near refuges and call points including two-way communication systems and disabled toilet alarm call positions</w:t>
      </w:r>
    </w:p>
    <w:p w14:paraId="483D2B6B" w14:textId="77777777" w:rsidR="00C83962" w:rsidRDefault="00C83962" w:rsidP="00C83962">
      <w:pPr>
        <w:numPr>
          <w:ilvl w:val="0"/>
          <w:numId w:val="14"/>
        </w:numPr>
        <w:rPr>
          <w:b/>
          <w:bCs/>
          <w:sz w:val="22"/>
          <w:szCs w:val="22"/>
        </w:rPr>
      </w:pPr>
      <w:r w:rsidRPr="00C83962">
        <w:rPr>
          <w:b/>
          <w:bCs/>
          <w:sz w:val="22"/>
          <w:szCs w:val="22"/>
        </w:rPr>
        <w:t>Near manual release controls that release electronically locked doors</w:t>
      </w:r>
    </w:p>
    <w:p w14:paraId="6DB77951" w14:textId="77777777" w:rsidR="00C83962" w:rsidRDefault="00C83962" w:rsidP="00C83962">
      <w:pPr>
        <w:numPr>
          <w:ilvl w:val="0"/>
          <w:numId w:val="14"/>
        </w:numPr>
        <w:rPr>
          <w:b/>
          <w:bCs/>
          <w:sz w:val="22"/>
          <w:szCs w:val="22"/>
        </w:rPr>
      </w:pPr>
      <w:r w:rsidRPr="00C83962">
        <w:rPr>
          <w:b/>
          <w:bCs/>
          <w:sz w:val="22"/>
          <w:szCs w:val="22"/>
        </w:rPr>
        <w:t>Outside the building close to each final exit</w:t>
      </w:r>
    </w:p>
    <w:p w14:paraId="32B60346" w14:textId="77777777" w:rsidR="00C83962" w:rsidRDefault="00C83962" w:rsidP="00C83962">
      <w:pPr>
        <w:numPr>
          <w:ilvl w:val="0"/>
          <w:numId w:val="14"/>
        </w:numPr>
        <w:rPr>
          <w:b/>
          <w:bCs/>
          <w:sz w:val="22"/>
          <w:szCs w:val="22"/>
        </w:rPr>
      </w:pPr>
      <w:r w:rsidRPr="00C83962">
        <w:rPr>
          <w:b/>
          <w:bCs/>
          <w:sz w:val="22"/>
          <w:szCs w:val="22"/>
        </w:rPr>
        <w:t>In toilets used by disabled people and multiple closet facilities</w:t>
      </w:r>
    </w:p>
    <w:p w14:paraId="0BA86F2C" w14:textId="77777777" w:rsidR="00C83962" w:rsidRDefault="00C83962" w:rsidP="00C83962">
      <w:pPr>
        <w:numPr>
          <w:ilvl w:val="0"/>
          <w:numId w:val="14"/>
        </w:numPr>
        <w:rPr>
          <w:b/>
          <w:bCs/>
          <w:sz w:val="22"/>
          <w:szCs w:val="22"/>
        </w:rPr>
      </w:pPr>
      <w:r w:rsidRPr="00C83962">
        <w:rPr>
          <w:b/>
          <w:bCs/>
          <w:sz w:val="22"/>
          <w:szCs w:val="22"/>
        </w:rPr>
        <w:t>All motor generator rooms, plant rooms, control rooms and switch rooms (15 Lux)</w:t>
      </w:r>
    </w:p>
    <w:p w14:paraId="57BD9D2F" w14:textId="77777777" w:rsidR="00C83962" w:rsidRDefault="00C83962" w:rsidP="00C83962">
      <w:pPr>
        <w:numPr>
          <w:ilvl w:val="0"/>
          <w:numId w:val="14"/>
        </w:numPr>
        <w:rPr>
          <w:b/>
          <w:bCs/>
          <w:sz w:val="22"/>
          <w:szCs w:val="22"/>
        </w:rPr>
      </w:pPr>
      <w:r w:rsidRPr="00C83962">
        <w:rPr>
          <w:b/>
          <w:bCs/>
          <w:sz w:val="22"/>
          <w:szCs w:val="22"/>
        </w:rPr>
        <w:t>Emergency lighting duration. BS 5266-1 states that emergency light fittings should be able to operate for 3 hours following a mains power failure. 1 hour is also permissible, but only if the building will be evacuated immediately in the event of a power failure and not re-occupied till the batteries have been fully recharged.</w:t>
      </w:r>
    </w:p>
    <w:p w14:paraId="204408BD" w14:textId="77777777" w:rsidR="00C83962" w:rsidRDefault="00C83962" w:rsidP="00C83962">
      <w:pPr>
        <w:numPr>
          <w:ilvl w:val="0"/>
          <w:numId w:val="14"/>
        </w:numPr>
        <w:rPr>
          <w:b/>
          <w:bCs/>
          <w:sz w:val="22"/>
          <w:szCs w:val="22"/>
        </w:rPr>
      </w:pPr>
      <w:r w:rsidRPr="00C83962">
        <w:rPr>
          <w:b/>
          <w:bCs/>
          <w:sz w:val="22"/>
          <w:szCs w:val="22"/>
        </w:rPr>
        <w:t>Emergency lighting testing. BS 5266-1 defines the testing that should be performed on an emergency lighting system as follows:</w:t>
      </w:r>
    </w:p>
    <w:p w14:paraId="3F366E2B" w14:textId="77777777" w:rsidR="00C83962" w:rsidRPr="00C83962" w:rsidRDefault="00C83962" w:rsidP="00C83962">
      <w:pPr>
        <w:numPr>
          <w:ilvl w:val="0"/>
          <w:numId w:val="14"/>
        </w:numPr>
        <w:rPr>
          <w:b/>
          <w:bCs/>
          <w:sz w:val="22"/>
          <w:szCs w:val="22"/>
        </w:rPr>
      </w:pPr>
    </w:p>
    <w:p w14:paraId="6D100D61" w14:textId="3F89BFE2" w:rsidR="00C83962" w:rsidRDefault="00C83962" w:rsidP="00C83962">
      <w:pPr>
        <w:numPr>
          <w:ilvl w:val="0"/>
          <w:numId w:val="15"/>
        </w:numPr>
        <w:rPr>
          <w:b/>
          <w:bCs/>
          <w:sz w:val="22"/>
          <w:szCs w:val="22"/>
        </w:rPr>
      </w:pPr>
      <w:r w:rsidRPr="00C83962">
        <w:rPr>
          <w:b/>
          <w:bCs/>
          <w:sz w:val="22"/>
          <w:szCs w:val="22"/>
        </w:rPr>
        <w:t>A brief functional test at least once each month</w:t>
      </w:r>
    </w:p>
    <w:p w14:paraId="1BDE3076" w14:textId="77777777" w:rsidR="00C83962" w:rsidRDefault="00C83962" w:rsidP="00C83962">
      <w:pPr>
        <w:numPr>
          <w:ilvl w:val="0"/>
          <w:numId w:val="15"/>
        </w:numPr>
        <w:rPr>
          <w:b/>
          <w:bCs/>
          <w:sz w:val="22"/>
          <w:szCs w:val="22"/>
        </w:rPr>
      </w:pPr>
      <w:r w:rsidRPr="00C83962">
        <w:rPr>
          <w:b/>
          <w:bCs/>
          <w:sz w:val="22"/>
          <w:szCs w:val="22"/>
        </w:rPr>
        <w:t>A full duration test at least every year</w:t>
      </w:r>
    </w:p>
    <w:p w14:paraId="35F5D9D6" w14:textId="77777777" w:rsidR="00C83962" w:rsidRDefault="00C83962" w:rsidP="00C83962">
      <w:pPr>
        <w:numPr>
          <w:ilvl w:val="0"/>
          <w:numId w:val="15"/>
        </w:numPr>
        <w:rPr>
          <w:b/>
          <w:bCs/>
          <w:sz w:val="22"/>
          <w:szCs w:val="22"/>
        </w:rPr>
      </w:pPr>
      <w:r w:rsidRPr="00C83962">
        <w:rPr>
          <w:b/>
          <w:bCs/>
          <w:sz w:val="22"/>
          <w:szCs w:val="22"/>
        </w:rPr>
        <w:t>A visual inspection at least every year</w:t>
      </w:r>
    </w:p>
    <w:p w14:paraId="5B6FF0FC" w14:textId="77777777" w:rsidR="00C83962" w:rsidRPr="00C83962" w:rsidRDefault="00C83962" w:rsidP="00C83962">
      <w:pPr>
        <w:rPr>
          <w:b/>
          <w:bCs/>
          <w:sz w:val="22"/>
          <w:szCs w:val="22"/>
        </w:rPr>
      </w:pPr>
    </w:p>
    <w:p w14:paraId="33B2BEB6" w14:textId="77777777" w:rsidR="00C83962" w:rsidRDefault="00C83962" w:rsidP="00C83962">
      <w:pPr>
        <w:rPr>
          <w:b/>
          <w:bCs/>
          <w:sz w:val="22"/>
          <w:szCs w:val="22"/>
        </w:rPr>
      </w:pPr>
      <w:r w:rsidRPr="00C83962">
        <w:rPr>
          <w:b/>
          <w:bCs/>
          <w:sz w:val="22"/>
          <w:szCs w:val="22"/>
        </w:rPr>
        <w:t>BS 5266-1 also advises that records of all tests and repairs should be kept in a log book.</w:t>
      </w:r>
    </w:p>
    <w:p w14:paraId="038ECAB6" w14:textId="77777777" w:rsidR="00C83962" w:rsidRPr="00C83962" w:rsidRDefault="00C83962" w:rsidP="00C83962">
      <w:pPr>
        <w:rPr>
          <w:b/>
          <w:bCs/>
          <w:sz w:val="22"/>
          <w:szCs w:val="22"/>
        </w:rPr>
      </w:pPr>
    </w:p>
    <w:p w14:paraId="6B4B0908" w14:textId="77777777" w:rsidR="00C83962" w:rsidRDefault="00C83962" w:rsidP="00C83962">
      <w:pPr>
        <w:rPr>
          <w:b/>
          <w:bCs/>
          <w:sz w:val="22"/>
          <w:szCs w:val="22"/>
        </w:rPr>
      </w:pPr>
      <w:r w:rsidRPr="00C83962">
        <w:rPr>
          <w:b/>
          <w:bCs/>
          <w:sz w:val="22"/>
          <w:szCs w:val="22"/>
        </w:rPr>
        <w:t>As such therefore the system needs to provide a minimum of 1 lux @1m throughout the building and this level is increased based on the risk present for:</w:t>
      </w:r>
    </w:p>
    <w:p w14:paraId="54FD1AF5" w14:textId="77777777" w:rsidR="00C83962" w:rsidRPr="00C83962" w:rsidRDefault="00C83962" w:rsidP="00C83962">
      <w:pPr>
        <w:rPr>
          <w:b/>
          <w:bCs/>
          <w:sz w:val="22"/>
          <w:szCs w:val="22"/>
        </w:rPr>
      </w:pPr>
    </w:p>
    <w:p w14:paraId="38A66B99" w14:textId="77777777" w:rsidR="00C83962" w:rsidRDefault="00C83962" w:rsidP="00C83962">
      <w:pPr>
        <w:rPr>
          <w:b/>
          <w:bCs/>
          <w:sz w:val="22"/>
          <w:szCs w:val="22"/>
        </w:rPr>
      </w:pPr>
      <w:r w:rsidRPr="00C83962">
        <w:rPr>
          <w:b/>
          <w:bCs/>
          <w:sz w:val="22"/>
          <w:szCs w:val="22"/>
        </w:rPr>
        <w:t xml:space="preserve">Fire Alarm controls, including where provided, Sprinklers, AOV units and Power Supplies &amp; Electrical Distribution board locations @ 15 lux - 1st Aid points @ 15 lux, the kitchen areas represent a significant risk and thus must be considered for bespoke high performance IP fittings. </w:t>
      </w:r>
    </w:p>
    <w:p w14:paraId="55E419D8" w14:textId="77777777" w:rsidR="00C83962" w:rsidRPr="00C83962" w:rsidRDefault="00C83962" w:rsidP="00C83962">
      <w:pPr>
        <w:rPr>
          <w:b/>
          <w:bCs/>
          <w:sz w:val="22"/>
          <w:szCs w:val="22"/>
        </w:rPr>
      </w:pPr>
    </w:p>
    <w:p w14:paraId="637A9170" w14:textId="77777777" w:rsidR="00C83962" w:rsidRDefault="00C83962" w:rsidP="00C83962">
      <w:pPr>
        <w:rPr>
          <w:b/>
          <w:bCs/>
          <w:sz w:val="22"/>
          <w:szCs w:val="22"/>
        </w:rPr>
      </w:pPr>
      <w:r w:rsidRPr="00C83962">
        <w:rPr>
          <w:b/>
          <w:bCs/>
          <w:sz w:val="22"/>
          <w:szCs w:val="22"/>
        </w:rPr>
        <w:t xml:space="preserve">Call Point &amp; Portable Extinguisher locations @ 5 lux - Refuge areas on landings @ 5 lux - Disabled WC areas @ 5 lux as well as riser locations. </w:t>
      </w:r>
    </w:p>
    <w:p w14:paraId="30FD835E" w14:textId="77777777" w:rsidR="00C83962" w:rsidRPr="00C83962" w:rsidRDefault="00C83962" w:rsidP="00C83962">
      <w:pPr>
        <w:rPr>
          <w:b/>
          <w:bCs/>
          <w:sz w:val="22"/>
          <w:szCs w:val="22"/>
        </w:rPr>
      </w:pPr>
    </w:p>
    <w:p w14:paraId="702A731D" w14:textId="77777777" w:rsidR="00C83962" w:rsidRDefault="00C83962" w:rsidP="00C83962">
      <w:pPr>
        <w:rPr>
          <w:b/>
          <w:bCs/>
          <w:sz w:val="22"/>
          <w:szCs w:val="22"/>
        </w:rPr>
      </w:pPr>
      <w:r w:rsidRPr="00C83962">
        <w:rPr>
          <w:b/>
          <w:bCs/>
          <w:sz w:val="22"/>
          <w:szCs w:val="22"/>
        </w:rPr>
        <w:t>Call points should be provided with photoluminescent identifications legends at all locations.</w:t>
      </w:r>
    </w:p>
    <w:p w14:paraId="519A252F" w14:textId="77777777" w:rsidR="00C83962" w:rsidRPr="00C83962" w:rsidRDefault="00C83962" w:rsidP="00C83962">
      <w:pPr>
        <w:rPr>
          <w:b/>
          <w:bCs/>
          <w:sz w:val="22"/>
          <w:szCs w:val="22"/>
        </w:rPr>
      </w:pPr>
    </w:p>
    <w:p w14:paraId="278F2249" w14:textId="77777777" w:rsidR="00C83962" w:rsidRPr="00C83962" w:rsidRDefault="00C83962" w:rsidP="00C83962">
      <w:pPr>
        <w:rPr>
          <w:b/>
          <w:bCs/>
          <w:sz w:val="22"/>
          <w:szCs w:val="22"/>
        </w:rPr>
      </w:pPr>
      <w:r w:rsidRPr="00C83962">
        <w:rPr>
          <w:b/>
          <w:bCs/>
          <w:sz w:val="22"/>
          <w:szCs w:val="22"/>
        </w:rPr>
        <w:t>The Emergency Lighting should be able to demonstrate compliance (Normative reference being the correct terminology) to BS 5499 Part 4 and Part 10 and 14/2/G from the RRO Fire Safety Order by adequately illuminating the Means of Escape by emergency Lighting-Defined as either Emergency Lighting or Phosphorent Material.</w:t>
      </w:r>
    </w:p>
    <w:p w14:paraId="61882D6F" w14:textId="77777777" w:rsidR="00C83962" w:rsidRDefault="00C83962" w:rsidP="00C83962">
      <w:pPr>
        <w:rPr>
          <w:b/>
          <w:bCs/>
          <w:sz w:val="22"/>
          <w:szCs w:val="22"/>
        </w:rPr>
      </w:pPr>
      <w:r w:rsidRPr="00C83962">
        <w:rPr>
          <w:b/>
          <w:bCs/>
          <w:sz w:val="22"/>
          <w:szCs w:val="22"/>
        </w:rPr>
        <w:t xml:space="preserve">Approved Document K – page 6 (defines stair nosing’s to be 30 points of colour difference, Seeking Assurance is Key from the stair covering to the Nosing insert to satisfy the Equalities Act for visual impairment and general step </w:t>
      </w:r>
      <w:r w:rsidRPr="00C83962">
        <w:rPr>
          <w:b/>
          <w:bCs/>
          <w:sz w:val="22"/>
          <w:szCs w:val="22"/>
        </w:rPr>
        <w:lastRenderedPageBreak/>
        <w:t xml:space="preserve">edge identification) requires qualified provision of (photoluminescent would improve greatly but not defined in ADK page 6) materials on stairways and escape areas to meet the Equalities Act and BS 8300. </w:t>
      </w:r>
    </w:p>
    <w:p w14:paraId="08469C0D" w14:textId="77777777" w:rsidR="00C83962" w:rsidRDefault="00C83962" w:rsidP="00C83962">
      <w:pPr>
        <w:rPr>
          <w:b/>
          <w:bCs/>
          <w:sz w:val="22"/>
          <w:szCs w:val="22"/>
        </w:rPr>
      </w:pPr>
    </w:p>
    <w:p w14:paraId="6A02E446" w14:textId="4043E8CB" w:rsidR="00316C31" w:rsidRDefault="00C83962" w:rsidP="00C83962">
      <w:pPr>
        <w:rPr>
          <w:b/>
          <w:bCs/>
          <w:sz w:val="22"/>
          <w:szCs w:val="22"/>
        </w:rPr>
      </w:pPr>
      <w:r w:rsidRPr="00C83962">
        <w:rPr>
          <w:b/>
          <w:bCs/>
          <w:sz w:val="22"/>
          <w:szCs w:val="22"/>
        </w:rPr>
        <w:t>Attached on page 4 of the Andoversford Document Below.</w:t>
      </w:r>
    </w:p>
    <w:p w14:paraId="20AFEDE5" w14:textId="77777777" w:rsidR="00313C3B" w:rsidRDefault="00313C3B" w:rsidP="00C83962">
      <w:pPr>
        <w:rPr>
          <w:b/>
          <w:bCs/>
          <w:sz w:val="22"/>
          <w:szCs w:val="22"/>
        </w:rPr>
      </w:pPr>
    </w:p>
    <w:p w14:paraId="59DAE205" w14:textId="1C997A12" w:rsidR="00313C3B" w:rsidRDefault="00313C3B" w:rsidP="00C83962">
      <w:pPr>
        <w:rPr>
          <w:b/>
          <w:bCs/>
          <w:sz w:val="22"/>
          <w:szCs w:val="22"/>
        </w:rPr>
      </w:pPr>
      <w:r w:rsidRPr="00313C3B">
        <w:rPr>
          <w:noProof/>
        </w:rPr>
        <w:drawing>
          <wp:inline distT="0" distB="0" distL="0" distR="0" wp14:anchorId="5CB591A0" wp14:editId="2EBC0651">
            <wp:extent cx="6642100" cy="824865"/>
            <wp:effectExtent l="0" t="0" r="0" b="0"/>
            <wp:docPr id="5737539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42100" cy="824865"/>
                    </a:xfrm>
                    <a:prstGeom prst="rect">
                      <a:avLst/>
                    </a:prstGeom>
                    <a:noFill/>
                    <a:ln>
                      <a:noFill/>
                    </a:ln>
                  </pic:spPr>
                </pic:pic>
              </a:graphicData>
            </a:graphic>
          </wp:inline>
        </w:drawing>
      </w:r>
    </w:p>
    <w:p w14:paraId="3687F0F5" w14:textId="2178F306" w:rsidR="00313C3B" w:rsidRDefault="008D0499" w:rsidP="00C83962">
      <w:pPr>
        <w:rPr>
          <w:b/>
          <w:bCs/>
          <w:sz w:val="22"/>
          <w:szCs w:val="22"/>
        </w:rPr>
      </w:pPr>
      <w:r w:rsidRPr="008D0499">
        <w:rPr>
          <w:noProof/>
        </w:rPr>
        <w:drawing>
          <wp:inline distT="0" distB="0" distL="0" distR="0" wp14:anchorId="024B987C" wp14:editId="3DE5DBB6">
            <wp:extent cx="6642100" cy="5715635"/>
            <wp:effectExtent l="0" t="0" r="6350" b="0"/>
            <wp:docPr id="3766606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42100" cy="5715635"/>
                    </a:xfrm>
                    <a:prstGeom prst="rect">
                      <a:avLst/>
                    </a:prstGeom>
                    <a:noFill/>
                    <a:ln>
                      <a:noFill/>
                    </a:ln>
                  </pic:spPr>
                </pic:pic>
              </a:graphicData>
            </a:graphic>
          </wp:inline>
        </w:drawing>
      </w:r>
    </w:p>
    <w:p w14:paraId="10A5BC3E" w14:textId="77777777" w:rsidR="00313C3B" w:rsidRDefault="00313C3B" w:rsidP="00C83962">
      <w:pPr>
        <w:rPr>
          <w:b/>
          <w:bCs/>
          <w:sz w:val="22"/>
          <w:szCs w:val="22"/>
        </w:rPr>
      </w:pPr>
    </w:p>
    <w:p w14:paraId="6B39EAAC" w14:textId="77777777" w:rsidR="00313C3B" w:rsidRPr="00316C31" w:rsidRDefault="00313C3B" w:rsidP="00C83962">
      <w:pPr>
        <w:rPr>
          <w:b/>
          <w:bCs/>
          <w:sz w:val="22"/>
          <w:szCs w:val="22"/>
        </w:rPr>
      </w:pPr>
    </w:p>
    <w:p w14:paraId="1E0F7A58" w14:textId="77777777" w:rsidR="00F30FCB" w:rsidRDefault="00F30FCB" w:rsidP="00F30FCB">
      <w:pPr>
        <w:rPr>
          <w:sz w:val="22"/>
          <w:szCs w:val="22"/>
        </w:rPr>
      </w:pPr>
    </w:p>
    <w:p w14:paraId="766E85BB" w14:textId="4B3B07CE" w:rsidR="00013B02" w:rsidRPr="00D5552C" w:rsidRDefault="00013B02" w:rsidP="00013B02">
      <w:pPr>
        <w:rPr>
          <w:b/>
          <w:bCs/>
          <w:sz w:val="22"/>
          <w:szCs w:val="22"/>
        </w:rPr>
      </w:pPr>
      <w:r w:rsidRPr="00D5552C">
        <w:rPr>
          <w:b/>
          <w:bCs/>
          <w:sz w:val="22"/>
          <w:szCs w:val="22"/>
        </w:rPr>
        <w:t xml:space="preserve">Steve Dilloway BAFE SP205 </w:t>
      </w:r>
      <w:r w:rsidR="00D5552C" w:rsidRPr="00D5552C">
        <w:rPr>
          <w:b/>
          <w:bCs/>
          <w:sz w:val="22"/>
          <w:szCs w:val="22"/>
        </w:rPr>
        <w:t>C</w:t>
      </w:r>
      <w:r w:rsidRPr="00D5552C">
        <w:rPr>
          <w:b/>
          <w:bCs/>
          <w:sz w:val="22"/>
          <w:szCs w:val="22"/>
        </w:rPr>
        <w:t xml:space="preserve">ertified </w:t>
      </w:r>
      <w:r w:rsidR="00D5552C" w:rsidRPr="00D5552C">
        <w:rPr>
          <w:b/>
          <w:bCs/>
          <w:sz w:val="22"/>
          <w:szCs w:val="22"/>
        </w:rPr>
        <w:t>R</w:t>
      </w:r>
      <w:r w:rsidRPr="00D5552C">
        <w:rPr>
          <w:b/>
          <w:bCs/>
          <w:sz w:val="22"/>
          <w:szCs w:val="22"/>
        </w:rPr>
        <w:t xml:space="preserve">isk </w:t>
      </w:r>
      <w:r w:rsidR="00D5552C" w:rsidRPr="00D5552C">
        <w:rPr>
          <w:b/>
          <w:bCs/>
          <w:sz w:val="22"/>
          <w:szCs w:val="22"/>
        </w:rPr>
        <w:t>A</w:t>
      </w:r>
      <w:r w:rsidRPr="00D5552C">
        <w:rPr>
          <w:b/>
          <w:bCs/>
          <w:sz w:val="22"/>
          <w:szCs w:val="22"/>
        </w:rPr>
        <w:t>ssessor</w:t>
      </w:r>
      <w:r w:rsidR="00961376">
        <w:rPr>
          <w:b/>
          <w:bCs/>
          <w:sz w:val="22"/>
          <w:szCs w:val="22"/>
        </w:rPr>
        <w:t xml:space="preserve"> BAFE ID 302298</w:t>
      </w:r>
    </w:p>
    <w:p w14:paraId="090D3FB0" w14:textId="77777777" w:rsidR="00013B02" w:rsidRPr="00013B02" w:rsidRDefault="00013B02" w:rsidP="00013B02">
      <w:pPr>
        <w:rPr>
          <w:sz w:val="22"/>
          <w:szCs w:val="22"/>
        </w:rPr>
      </w:pPr>
      <w:r w:rsidRPr="00013B02">
        <w:rPr>
          <w:sz w:val="22"/>
          <w:szCs w:val="22"/>
        </w:rPr>
        <w:t xml:space="preserve"> </w:t>
      </w:r>
    </w:p>
    <w:p w14:paraId="5C50F404" w14:textId="77777777" w:rsidR="00013B02" w:rsidRPr="00013B02" w:rsidRDefault="00013B02" w:rsidP="00013B02">
      <w:pPr>
        <w:rPr>
          <w:sz w:val="22"/>
          <w:szCs w:val="22"/>
        </w:rPr>
      </w:pPr>
    </w:p>
    <w:p w14:paraId="28AE1652" w14:textId="77777777" w:rsidR="00013B02" w:rsidRPr="00013B02" w:rsidRDefault="00013B02" w:rsidP="00013B02">
      <w:pPr>
        <w:rPr>
          <w:sz w:val="22"/>
          <w:szCs w:val="22"/>
        </w:rPr>
      </w:pPr>
    </w:p>
    <w:p w14:paraId="399B0B9A" w14:textId="77777777" w:rsidR="00013B02" w:rsidRPr="00E97C3B" w:rsidRDefault="00013B02">
      <w:pPr>
        <w:rPr>
          <w:sz w:val="22"/>
          <w:szCs w:val="22"/>
        </w:rPr>
      </w:pPr>
    </w:p>
    <w:sectPr w:rsidR="00013B02" w:rsidRPr="00E97C3B" w:rsidSect="00627F29">
      <w:headerReference w:type="default" r:id="rId12"/>
      <w:footerReference w:type="even" r:id="rId13"/>
      <w:footerReference w:type="default" r:id="rId14"/>
      <w:headerReference w:type="first" r:id="rId15"/>
      <w:footerReference w:type="first" r:id="rId16"/>
      <w:pgSz w:w="11900" w:h="16840"/>
      <w:pgMar w:top="720" w:right="720" w:bottom="720" w:left="720" w:header="720"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39CEE" w14:textId="77777777" w:rsidR="00E56FFE" w:rsidRDefault="00E56FFE" w:rsidP="00AD65CD">
      <w:r>
        <w:separator/>
      </w:r>
    </w:p>
  </w:endnote>
  <w:endnote w:type="continuationSeparator" w:id="0">
    <w:p w14:paraId="08086931" w14:textId="77777777" w:rsidR="00E56FFE" w:rsidRDefault="00E56FFE" w:rsidP="00AD6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31660568"/>
      <w:docPartObj>
        <w:docPartGallery w:val="Page Numbers (Bottom of Page)"/>
        <w:docPartUnique/>
      </w:docPartObj>
    </w:sdtPr>
    <w:sdtEndPr>
      <w:rPr>
        <w:rStyle w:val="PageNumber"/>
      </w:rPr>
    </w:sdtEndPr>
    <w:sdtContent>
      <w:p w14:paraId="35A97C90" w14:textId="77777777" w:rsidR="00F97586" w:rsidRDefault="00F97586" w:rsidP="003C2E0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21C738F" w14:textId="77777777" w:rsidR="00F97586" w:rsidRDefault="00F975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9312154"/>
      <w:docPartObj>
        <w:docPartGallery w:val="Page Numbers (Bottom of Page)"/>
        <w:docPartUnique/>
      </w:docPartObj>
    </w:sdtPr>
    <w:sdtEndPr>
      <w:rPr>
        <w:noProof/>
      </w:rPr>
    </w:sdtEndPr>
    <w:sdtContent>
      <w:p w14:paraId="4C1C907F" w14:textId="6FCD9480" w:rsidR="0071001B" w:rsidRDefault="0071001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EBD7E3" w14:textId="77777777" w:rsidR="00206BD8" w:rsidRDefault="00206B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4DA35" w14:textId="77777777" w:rsidR="00335493" w:rsidRDefault="00335493" w:rsidP="001176B0">
    <w:pPr>
      <w:pStyle w:val="Footer"/>
      <w:ind w:right="-720" w:hanging="709"/>
    </w:pPr>
  </w:p>
  <w:p w14:paraId="51B3E437" w14:textId="77777777" w:rsidR="009D08A1" w:rsidRDefault="009D08A1">
    <w:pPr>
      <w:pStyle w:val="Footer"/>
    </w:pPr>
  </w:p>
  <w:p w14:paraId="7D46FE53" w14:textId="77777777" w:rsidR="009D08A1" w:rsidRDefault="009D08A1">
    <w:pPr>
      <w:pStyle w:val="Footer"/>
    </w:pPr>
  </w:p>
  <w:p w14:paraId="2797A905" w14:textId="77777777" w:rsidR="009D08A1" w:rsidRDefault="009D08A1">
    <w:pPr>
      <w:pStyle w:val="Footer"/>
    </w:pPr>
  </w:p>
  <w:p w14:paraId="003BE9D4" w14:textId="77777777" w:rsidR="009D08A1" w:rsidRDefault="009D08A1">
    <w:pPr>
      <w:pStyle w:val="Footer"/>
    </w:pPr>
  </w:p>
  <w:p w14:paraId="158628A9" w14:textId="77777777" w:rsidR="009D08A1" w:rsidRDefault="009D08A1">
    <w:pPr>
      <w:pStyle w:val="Footer"/>
    </w:pPr>
  </w:p>
  <w:p w14:paraId="56D2892D" w14:textId="77777777" w:rsidR="009D08A1" w:rsidRDefault="009D08A1">
    <w:pPr>
      <w:pStyle w:val="Footer"/>
    </w:pPr>
  </w:p>
  <w:p w14:paraId="65E56AE1" w14:textId="77777777" w:rsidR="009D08A1" w:rsidRDefault="009D08A1">
    <w:pPr>
      <w:pStyle w:val="Footer"/>
    </w:pPr>
  </w:p>
  <w:p w14:paraId="2D421C7F" w14:textId="77777777" w:rsidR="009D08A1" w:rsidRDefault="009D08A1">
    <w:pPr>
      <w:pStyle w:val="Footer"/>
    </w:pPr>
  </w:p>
  <w:p w14:paraId="5C4BF70C" w14:textId="77777777" w:rsidR="00B13A4A" w:rsidRDefault="00B13A4A">
    <w:pPr>
      <w:pStyle w:val="Footer"/>
    </w:pPr>
  </w:p>
  <w:p w14:paraId="69516910" w14:textId="77777777" w:rsidR="00B13A4A" w:rsidRDefault="00B13A4A">
    <w:pPr>
      <w:pStyle w:val="Footer"/>
    </w:pPr>
  </w:p>
  <w:p w14:paraId="7338859E" w14:textId="77777777" w:rsidR="00B13A4A" w:rsidRDefault="00B13A4A">
    <w:pPr>
      <w:pStyle w:val="Footer"/>
    </w:pPr>
  </w:p>
  <w:p w14:paraId="5A6AF36F" w14:textId="77777777" w:rsidR="00B13A4A" w:rsidRDefault="00B13A4A">
    <w:pPr>
      <w:pStyle w:val="Footer"/>
    </w:pPr>
  </w:p>
  <w:p w14:paraId="5409DF09" w14:textId="77777777" w:rsidR="00B13A4A" w:rsidRDefault="00B13A4A">
    <w:pPr>
      <w:pStyle w:val="Footer"/>
    </w:pPr>
  </w:p>
  <w:p w14:paraId="19BE43D3" w14:textId="77777777" w:rsidR="009D08A1" w:rsidRDefault="009D08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1BAD6" w14:textId="77777777" w:rsidR="00E56FFE" w:rsidRDefault="00E56FFE" w:rsidP="00AD65CD">
      <w:r>
        <w:separator/>
      </w:r>
    </w:p>
  </w:footnote>
  <w:footnote w:type="continuationSeparator" w:id="0">
    <w:p w14:paraId="7677B40B" w14:textId="77777777" w:rsidR="00E56FFE" w:rsidRDefault="00E56FFE" w:rsidP="00AD65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7356E" w14:textId="1B8F9280" w:rsidR="00245355" w:rsidRPr="004B4E00" w:rsidRDefault="00E765CE">
    <w:pPr>
      <w:pStyle w:val="Header"/>
      <w:rPr>
        <w:color w:val="EE0000"/>
      </w:rPr>
    </w:pPr>
    <w:r w:rsidRPr="004B4E00">
      <w:rPr>
        <w:color w:val="EE0000"/>
      </w:rPr>
      <w:t xml:space="preserve">                                                                                                                                     VERITAS FIRE SUPPORT SERVICES</w:t>
    </w:r>
  </w:p>
  <w:p w14:paraId="22899022" w14:textId="77777777" w:rsidR="00245355" w:rsidRDefault="002453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AFC11" w14:textId="77777777" w:rsidR="00335493" w:rsidRDefault="00335493" w:rsidP="00776F8B">
    <w:pPr>
      <w:pStyle w:val="Header"/>
      <w:jc w:val="center"/>
    </w:pPr>
  </w:p>
  <w:p w14:paraId="0AA4FF81" w14:textId="77777777" w:rsidR="00EA492B" w:rsidRDefault="00EA492B" w:rsidP="00776F8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11E2"/>
    <w:multiLevelType w:val="hybridMultilevel"/>
    <w:tmpl w:val="FF6A23E6"/>
    <w:lvl w:ilvl="0" w:tplc="0F26636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53056C"/>
    <w:multiLevelType w:val="hybridMultilevel"/>
    <w:tmpl w:val="F6EC67A4"/>
    <w:lvl w:ilvl="0" w:tplc="FC62EEE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573BE7"/>
    <w:multiLevelType w:val="hybridMultilevel"/>
    <w:tmpl w:val="7B3AEA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6C7BF0"/>
    <w:multiLevelType w:val="hybridMultilevel"/>
    <w:tmpl w:val="3160A5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2726F8"/>
    <w:multiLevelType w:val="hybridMultilevel"/>
    <w:tmpl w:val="F6EEB62C"/>
    <w:lvl w:ilvl="0" w:tplc="13E6E41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2500C2"/>
    <w:multiLevelType w:val="hybridMultilevel"/>
    <w:tmpl w:val="292604EC"/>
    <w:lvl w:ilvl="0" w:tplc="16529B0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AC5B9F"/>
    <w:multiLevelType w:val="hybridMultilevel"/>
    <w:tmpl w:val="014E54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35421F"/>
    <w:multiLevelType w:val="hybridMultilevel"/>
    <w:tmpl w:val="42563A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19350E"/>
    <w:multiLevelType w:val="hybridMultilevel"/>
    <w:tmpl w:val="2738FAD6"/>
    <w:lvl w:ilvl="0" w:tplc="6DBC414A">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0A6A00"/>
    <w:multiLevelType w:val="hybridMultilevel"/>
    <w:tmpl w:val="3C864962"/>
    <w:lvl w:ilvl="0" w:tplc="E5207D02">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0D57F8"/>
    <w:multiLevelType w:val="hybridMultilevel"/>
    <w:tmpl w:val="96827E36"/>
    <w:lvl w:ilvl="0" w:tplc="EF286922">
      <w:start w:val="202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EF30CD"/>
    <w:multiLevelType w:val="hybridMultilevel"/>
    <w:tmpl w:val="098219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85F5DCE"/>
    <w:multiLevelType w:val="hybridMultilevel"/>
    <w:tmpl w:val="20D63748"/>
    <w:lvl w:ilvl="0" w:tplc="3C2018C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C9625D"/>
    <w:multiLevelType w:val="hybridMultilevel"/>
    <w:tmpl w:val="790411D2"/>
    <w:lvl w:ilvl="0" w:tplc="810648D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77820E7E"/>
    <w:multiLevelType w:val="hybridMultilevel"/>
    <w:tmpl w:val="62FCE8E8"/>
    <w:lvl w:ilvl="0" w:tplc="756AD5D2">
      <w:start w:val="9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3615482">
    <w:abstractNumId w:val="1"/>
  </w:num>
  <w:num w:numId="2" w16cid:durableId="1936279704">
    <w:abstractNumId w:val="7"/>
  </w:num>
  <w:num w:numId="3" w16cid:durableId="1083723914">
    <w:abstractNumId w:val="0"/>
  </w:num>
  <w:num w:numId="4" w16cid:durableId="632488344">
    <w:abstractNumId w:val="13"/>
  </w:num>
  <w:num w:numId="5" w16cid:durableId="504126493">
    <w:abstractNumId w:val="6"/>
  </w:num>
  <w:num w:numId="6" w16cid:durableId="1492479406">
    <w:abstractNumId w:val="4"/>
  </w:num>
  <w:num w:numId="7" w16cid:durableId="112484645">
    <w:abstractNumId w:val="5"/>
  </w:num>
  <w:num w:numId="8" w16cid:durableId="1503857298">
    <w:abstractNumId w:val="2"/>
  </w:num>
  <w:num w:numId="9" w16cid:durableId="813259667">
    <w:abstractNumId w:val="9"/>
  </w:num>
  <w:num w:numId="10" w16cid:durableId="1789857396">
    <w:abstractNumId w:val="14"/>
  </w:num>
  <w:num w:numId="11" w16cid:durableId="1772159603">
    <w:abstractNumId w:val="8"/>
  </w:num>
  <w:num w:numId="12" w16cid:durableId="1436632145">
    <w:abstractNumId w:val="3"/>
  </w:num>
  <w:num w:numId="13" w16cid:durableId="2023239429">
    <w:abstractNumId w:val="12"/>
  </w:num>
  <w:num w:numId="14" w16cid:durableId="1859854857">
    <w:abstractNumId w:val="10"/>
  </w:num>
  <w:num w:numId="15" w16cid:durableId="17170042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5CD"/>
    <w:rsid w:val="000016E1"/>
    <w:rsid w:val="00013B02"/>
    <w:rsid w:val="00023507"/>
    <w:rsid w:val="0002378F"/>
    <w:rsid w:val="0002597F"/>
    <w:rsid w:val="000259BD"/>
    <w:rsid w:val="00027AC4"/>
    <w:rsid w:val="000326EC"/>
    <w:rsid w:val="00033418"/>
    <w:rsid w:val="000347FE"/>
    <w:rsid w:val="00043C62"/>
    <w:rsid w:val="00047324"/>
    <w:rsid w:val="00050078"/>
    <w:rsid w:val="00050A4A"/>
    <w:rsid w:val="000514CB"/>
    <w:rsid w:val="00056797"/>
    <w:rsid w:val="00060298"/>
    <w:rsid w:val="00065F84"/>
    <w:rsid w:val="00066039"/>
    <w:rsid w:val="00076609"/>
    <w:rsid w:val="000779CF"/>
    <w:rsid w:val="000829E8"/>
    <w:rsid w:val="00085072"/>
    <w:rsid w:val="000870F2"/>
    <w:rsid w:val="00091A99"/>
    <w:rsid w:val="00094CDD"/>
    <w:rsid w:val="00095B55"/>
    <w:rsid w:val="000A1719"/>
    <w:rsid w:val="000A31F4"/>
    <w:rsid w:val="000A599C"/>
    <w:rsid w:val="000A5DF5"/>
    <w:rsid w:val="000A63D3"/>
    <w:rsid w:val="000B0A9D"/>
    <w:rsid w:val="000B351E"/>
    <w:rsid w:val="000B4C0F"/>
    <w:rsid w:val="000C16C0"/>
    <w:rsid w:val="000C2487"/>
    <w:rsid w:val="000D4386"/>
    <w:rsid w:val="000D67CA"/>
    <w:rsid w:val="000D723A"/>
    <w:rsid w:val="000E07BF"/>
    <w:rsid w:val="000E49D2"/>
    <w:rsid w:val="000E769D"/>
    <w:rsid w:val="000F3A2F"/>
    <w:rsid w:val="000F51FA"/>
    <w:rsid w:val="00100F39"/>
    <w:rsid w:val="00101059"/>
    <w:rsid w:val="001105F9"/>
    <w:rsid w:val="00113D71"/>
    <w:rsid w:val="00114099"/>
    <w:rsid w:val="00114DA2"/>
    <w:rsid w:val="001166DD"/>
    <w:rsid w:val="001176B0"/>
    <w:rsid w:val="001224CE"/>
    <w:rsid w:val="0012591C"/>
    <w:rsid w:val="00127CA3"/>
    <w:rsid w:val="00131001"/>
    <w:rsid w:val="00131DB5"/>
    <w:rsid w:val="00132680"/>
    <w:rsid w:val="0013496D"/>
    <w:rsid w:val="00134FEF"/>
    <w:rsid w:val="00140387"/>
    <w:rsid w:val="00141BAE"/>
    <w:rsid w:val="00141D94"/>
    <w:rsid w:val="00142539"/>
    <w:rsid w:val="001426B3"/>
    <w:rsid w:val="00144E20"/>
    <w:rsid w:val="00145531"/>
    <w:rsid w:val="00145966"/>
    <w:rsid w:val="00145BA3"/>
    <w:rsid w:val="00146841"/>
    <w:rsid w:val="00154321"/>
    <w:rsid w:val="001556F9"/>
    <w:rsid w:val="001579E4"/>
    <w:rsid w:val="00160A35"/>
    <w:rsid w:val="001611F5"/>
    <w:rsid w:val="0016625E"/>
    <w:rsid w:val="00167E38"/>
    <w:rsid w:val="00170D13"/>
    <w:rsid w:val="001729BD"/>
    <w:rsid w:val="00176F5F"/>
    <w:rsid w:val="001826DA"/>
    <w:rsid w:val="00190C2B"/>
    <w:rsid w:val="00194463"/>
    <w:rsid w:val="00194710"/>
    <w:rsid w:val="001979C1"/>
    <w:rsid w:val="001A3E18"/>
    <w:rsid w:val="001A5044"/>
    <w:rsid w:val="001A789D"/>
    <w:rsid w:val="001B2D60"/>
    <w:rsid w:val="001C0397"/>
    <w:rsid w:val="001C0671"/>
    <w:rsid w:val="001C4416"/>
    <w:rsid w:val="001C6E2D"/>
    <w:rsid w:val="001C717D"/>
    <w:rsid w:val="001D2849"/>
    <w:rsid w:val="001D2B4E"/>
    <w:rsid w:val="001D58D4"/>
    <w:rsid w:val="001D7419"/>
    <w:rsid w:val="001E1C15"/>
    <w:rsid w:val="001E4E24"/>
    <w:rsid w:val="001E507C"/>
    <w:rsid w:val="001E5417"/>
    <w:rsid w:val="001F0105"/>
    <w:rsid w:val="001F077C"/>
    <w:rsid w:val="001F07CA"/>
    <w:rsid w:val="001F46E2"/>
    <w:rsid w:val="001F5747"/>
    <w:rsid w:val="001F5BAE"/>
    <w:rsid w:val="001F785B"/>
    <w:rsid w:val="00200ACC"/>
    <w:rsid w:val="00202A34"/>
    <w:rsid w:val="002031C2"/>
    <w:rsid w:val="00206BD8"/>
    <w:rsid w:val="00207E1E"/>
    <w:rsid w:val="002104EF"/>
    <w:rsid w:val="00213E7C"/>
    <w:rsid w:val="00221F47"/>
    <w:rsid w:val="00222ECE"/>
    <w:rsid w:val="002270C4"/>
    <w:rsid w:val="00230F25"/>
    <w:rsid w:val="002417E4"/>
    <w:rsid w:val="00243F2D"/>
    <w:rsid w:val="00244290"/>
    <w:rsid w:val="00245342"/>
    <w:rsid w:val="00245355"/>
    <w:rsid w:val="002469F7"/>
    <w:rsid w:val="002523FE"/>
    <w:rsid w:val="00252566"/>
    <w:rsid w:val="00256601"/>
    <w:rsid w:val="00260B53"/>
    <w:rsid w:val="00260BCE"/>
    <w:rsid w:val="002614CE"/>
    <w:rsid w:val="00261AA8"/>
    <w:rsid w:val="00261F3A"/>
    <w:rsid w:val="00265389"/>
    <w:rsid w:val="002667B3"/>
    <w:rsid w:val="00270420"/>
    <w:rsid w:val="0027147E"/>
    <w:rsid w:val="00271DFC"/>
    <w:rsid w:val="00272370"/>
    <w:rsid w:val="0027246A"/>
    <w:rsid w:val="00274CEE"/>
    <w:rsid w:val="00277FFD"/>
    <w:rsid w:val="0028138B"/>
    <w:rsid w:val="00281E32"/>
    <w:rsid w:val="0028617F"/>
    <w:rsid w:val="0028693B"/>
    <w:rsid w:val="00295DC2"/>
    <w:rsid w:val="002A52C3"/>
    <w:rsid w:val="002A6BF5"/>
    <w:rsid w:val="002A6C7A"/>
    <w:rsid w:val="002A7368"/>
    <w:rsid w:val="002A7423"/>
    <w:rsid w:val="002A7831"/>
    <w:rsid w:val="002B12DB"/>
    <w:rsid w:val="002B2189"/>
    <w:rsid w:val="002B25C7"/>
    <w:rsid w:val="002B267D"/>
    <w:rsid w:val="002B365C"/>
    <w:rsid w:val="002B5AFE"/>
    <w:rsid w:val="002C2044"/>
    <w:rsid w:val="002C2DF4"/>
    <w:rsid w:val="002C56A1"/>
    <w:rsid w:val="002C5775"/>
    <w:rsid w:val="002C7F9D"/>
    <w:rsid w:val="002D2FAB"/>
    <w:rsid w:val="002D44D4"/>
    <w:rsid w:val="002D4623"/>
    <w:rsid w:val="002D6BB1"/>
    <w:rsid w:val="002D7AA0"/>
    <w:rsid w:val="002E2606"/>
    <w:rsid w:val="002E759D"/>
    <w:rsid w:val="002E7EC8"/>
    <w:rsid w:val="002F3A64"/>
    <w:rsid w:val="002F5B75"/>
    <w:rsid w:val="002F5D09"/>
    <w:rsid w:val="00305017"/>
    <w:rsid w:val="00313C3B"/>
    <w:rsid w:val="00316C31"/>
    <w:rsid w:val="003207F4"/>
    <w:rsid w:val="0032112B"/>
    <w:rsid w:val="003236C7"/>
    <w:rsid w:val="0032423F"/>
    <w:rsid w:val="00324D35"/>
    <w:rsid w:val="00325F7F"/>
    <w:rsid w:val="00326388"/>
    <w:rsid w:val="00331F83"/>
    <w:rsid w:val="00332A80"/>
    <w:rsid w:val="00335438"/>
    <w:rsid w:val="00335493"/>
    <w:rsid w:val="00335D6D"/>
    <w:rsid w:val="003360CE"/>
    <w:rsid w:val="00337BFF"/>
    <w:rsid w:val="00337E73"/>
    <w:rsid w:val="00343FD2"/>
    <w:rsid w:val="00345269"/>
    <w:rsid w:val="003453D1"/>
    <w:rsid w:val="00345AE4"/>
    <w:rsid w:val="00355397"/>
    <w:rsid w:val="00355CFF"/>
    <w:rsid w:val="0035654E"/>
    <w:rsid w:val="0036043C"/>
    <w:rsid w:val="00363C76"/>
    <w:rsid w:val="003677D6"/>
    <w:rsid w:val="003716CA"/>
    <w:rsid w:val="00375D35"/>
    <w:rsid w:val="00381D4B"/>
    <w:rsid w:val="00383F83"/>
    <w:rsid w:val="00384061"/>
    <w:rsid w:val="003867F8"/>
    <w:rsid w:val="0039472B"/>
    <w:rsid w:val="00397B01"/>
    <w:rsid w:val="003A0E64"/>
    <w:rsid w:val="003A223C"/>
    <w:rsid w:val="003A3979"/>
    <w:rsid w:val="003A701B"/>
    <w:rsid w:val="003B0D32"/>
    <w:rsid w:val="003B4B38"/>
    <w:rsid w:val="003B4F6D"/>
    <w:rsid w:val="003C017E"/>
    <w:rsid w:val="003C0754"/>
    <w:rsid w:val="003C0823"/>
    <w:rsid w:val="003C1672"/>
    <w:rsid w:val="003C2E0C"/>
    <w:rsid w:val="003C2FCC"/>
    <w:rsid w:val="003C4A43"/>
    <w:rsid w:val="003C55B6"/>
    <w:rsid w:val="003C6BC8"/>
    <w:rsid w:val="003D01A6"/>
    <w:rsid w:val="003D1AE8"/>
    <w:rsid w:val="003D38C7"/>
    <w:rsid w:val="003D5311"/>
    <w:rsid w:val="003D7EFF"/>
    <w:rsid w:val="003E0AF3"/>
    <w:rsid w:val="003E0F7B"/>
    <w:rsid w:val="003E4147"/>
    <w:rsid w:val="003E5BCC"/>
    <w:rsid w:val="003F05C3"/>
    <w:rsid w:val="003F22B7"/>
    <w:rsid w:val="003F5026"/>
    <w:rsid w:val="003F6255"/>
    <w:rsid w:val="003F7348"/>
    <w:rsid w:val="00403C23"/>
    <w:rsid w:val="004145B0"/>
    <w:rsid w:val="004150CC"/>
    <w:rsid w:val="00424577"/>
    <w:rsid w:val="00426021"/>
    <w:rsid w:val="0043056A"/>
    <w:rsid w:val="00432C15"/>
    <w:rsid w:val="004337E5"/>
    <w:rsid w:val="00436838"/>
    <w:rsid w:val="00437581"/>
    <w:rsid w:val="00446E70"/>
    <w:rsid w:val="00450902"/>
    <w:rsid w:val="00452F30"/>
    <w:rsid w:val="00455AE5"/>
    <w:rsid w:val="00455F0F"/>
    <w:rsid w:val="00461DE3"/>
    <w:rsid w:val="00462250"/>
    <w:rsid w:val="0046320C"/>
    <w:rsid w:val="004643A4"/>
    <w:rsid w:val="00470582"/>
    <w:rsid w:val="0047113B"/>
    <w:rsid w:val="00472693"/>
    <w:rsid w:val="004731FB"/>
    <w:rsid w:val="004752F0"/>
    <w:rsid w:val="00477E34"/>
    <w:rsid w:val="00481954"/>
    <w:rsid w:val="00483BE4"/>
    <w:rsid w:val="0048441C"/>
    <w:rsid w:val="0048596C"/>
    <w:rsid w:val="0048686E"/>
    <w:rsid w:val="004902AE"/>
    <w:rsid w:val="0049053F"/>
    <w:rsid w:val="00495511"/>
    <w:rsid w:val="0049581F"/>
    <w:rsid w:val="004A08FD"/>
    <w:rsid w:val="004A1311"/>
    <w:rsid w:val="004B0834"/>
    <w:rsid w:val="004B1B8C"/>
    <w:rsid w:val="004B1BDB"/>
    <w:rsid w:val="004B4214"/>
    <w:rsid w:val="004B4E00"/>
    <w:rsid w:val="004B7D99"/>
    <w:rsid w:val="004C25E2"/>
    <w:rsid w:val="004D6111"/>
    <w:rsid w:val="004D69A0"/>
    <w:rsid w:val="004E0DB1"/>
    <w:rsid w:val="004E348E"/>
    <w:rsid w:val="004E450A"/>
    <w:rsid w:val="004E51EB"/>
    <w:rsid w:val="004E7CC4"/>
    <w:rsid w:val="004E7CFB"/>
    <w:rsid w:val="004F1722"/>
    <w:rsid w:val="004F2AA1"/>
    <w:rsid w:val="004F637B"/>
    <w:rsid w:val="004F6799"/>
    <w:rsid w:val="00500D35"/>
    <w:rsid w:val="005029C5"/>
    <w:rsid w:val="00503357"/>
    <w:rsid w:val="00505B8A"/>
    <w:rsid w:val="00510EF8"/>
    <w:rsid w:val="00516DD1"/>
    <w:rsid w:val="00521F40"/>
    <w:rsid w:val="0052201E"/>
    <w:rsid w:val="005223BE"/>
    <w:rsid w:val="005323C7"/>
    <w:rsid w:val="005339F9"/>
    <w:rsid w:val="00535D04"/>
    <w:rsid w:val="0053662C"/>
    <w:rsid w:val="005470B1"/>
    <w:rsid w:val="00555426"/>
    <w:rsid w:val="00562C27"/>
    <w:rsid w:val="00564865"/>
    <w:rsid w:val="00574426"/>
    <w:rsid w:val="00575228"/>
    <w:rsid w:val="005835CD"/>
    <w:rsid w:val="00584D03"/>
    <w:rsid w:val="00585B72"/>
    <w:rsid w:val="00586C25"/>
    <w:rsid w:val="0058745F"/>
    <w:rsid w:val="005946BA"/>
    <w:rsid w:val="005A5DF8"/>
    <w:rsid w:val="005A7393"/>
    <w:rsid w:val="005B2CEA"/>
    <w:rsid w:val="005B6D8E"/>
    <w:rsid w:val="005C259F"/>
    <w:rsid w:val="005D3F07"/>
    <w:rsid w:val="005D49BD"/>
    <w:rsid w:val="005D4A15"/>
    <w:rsid w:val="005D5A4B"/>
    <w:rsid w:val="005D7A3A"/>
    <w:rsid w:val="005E6677"/>
    <w:rsid w:val="005F5443"/>
    <w:rsid w:val="005F6101"/>
    <w:rsid w:val="00600056"/>
    <w:rsid w:val="006002DC"/>
    <w:rsid w:val="00600BB3"/>
    <w:rsid w:val="00602B8F"/>
    <w:rsid w:val="00603281"/>
    <w:rsid w:val="006104C1"/>
    <w:rsid w:val="0061438B"/>
    <w:rsid w:val="00615484"/>
    <w:rsid w:val="00615636"/>
    <w:rsid w:val="00620A8A"/>
    <w:rsid w:val="00620FF8"/>
    <w:rsid w:val="006247C0"/>
    <w:rsid w:val="00627F29"/>
    <w:rsid w:val="006308CE"/>
    <w:rsid w:val="0063145B"/>
    <w:rsid w:val="00632A0E"/>
    <w:rsid w:val="006332ED"/>
    <w:rsid w:val="00633376"/>
    <w:rsid w:val="006351C9"/>
    <w:rsid w:val="00635CB8"/>
    <w:rsid w:val="006401CB"/>
    <w:rsid w:val="00644CB8"/>
    <w:rsid w:val="00646356"/>
    <w:rsid w:val="00650A82"/>
    <w:rsid w:val="00650FC0"/>
    <w:rsid w:val="006512C9"/>
    <w:rsid w:val="0066649E"/>
    <w:rsid w:val="006669E7"/>
    <w:rsid w:val="00667402"/>
    <w:rsid w:val="00667C54"/>
    <w:rsid w:val="00671315"/>
    <w:rsid w:val="00671D77"/>
    <w:rsid w:val="00687A1F"/>
    <w:rsid w:val="00690422"/>
    <w:rsid w:val="006912B8"/>
    <w:rsid w:val="006922F9"/>
    <w:rsid w:val="006937AA"/>
    <w:rsid w:val="00696714"/>
    <w:rsid w:val="00697A93"/>
    <w:rsid w:val="006A1411"/>
    <w:rsid w:val="006A4262"/>
    <w:rsid w:val="006A724C"/>
    <w:rsid w:val="006B3A4F"/>
    <w:rsid w:val="006B4A62"/>
    <w:rsid w:val="006B553E"/>
    <w:rsid w:val="006B6231"/>
    <w:rsid w:val="006C08F0"/>
    <w:rsid w:val="006C0A04"/>
    <w:rsid w:val="006C39B4"/>
    <w:rsid w:val="006C69DB"/>
    <w:rsid w:val="006D1DFF"/>
    <w:rsid w:val="006D519B"/>
    <w:rsid w:val="006D69DF"/>
    <w:rsid w:val="006E1992"/>
    <w:rsid w:val="006E3B64"/>
    <w:rsid w:val="006F1309"/>
    <w:rsid w:val="006F1692"/>
    <w:rsid w:val="006F2405"/>
    <w:rsid w:val="006F5112"/>
    <w:rsid w:val="00704775"/>
    <w:rsid w:val="0071001B"/>
    <w:rsid w:val="00711FC4"/>
    <w:rsid w:val="0071483F"/>
    <w:rsid w:val="00714B01"/>
    <w:rsid w:val="00715798"/>
    <w:rsid w:val="0071596D"/>
    <w:rsid w:val="007228B1"/>
    <w:rsid w:val="00722D17"/>
    <w:rsid w:val="007232BD"/>
    <w:rsid w:val="00726CD7"/>
    <w:rsid w:val="00745B5C"/>
    <w:rsid w:val="00746F7C"/>
    <w:rsid w:val="00750158"/>
    <w:rsid w:val="00754C81"/>
    <w:rsid w:val="0076004D"/>
    <w:rsid w:val="0076447A"/>
    <w:rsid w:val="00770CFA"/>
    <w:rsid w:val="007710FB"/>
    <w:rsid w:val="00771786"/>
    <w:rsid w:val="00773A80"/>
    <w:rsid w:val="007740A6"/>
    <w:rsid w:val="00774613"/>
    <w:rsid w:val="00776F8B"/>
    <w:rsid w:val="007771ED"/>
    <w:rsid w:val="00777D40"/>
    <w:rsid w:val="0078044F"/>
    <w:rsid w:val="007810D0"/>
    <w:rsid w:val="00785440"/>
    <w:rsid w:val="0078766B"/>
    <w:rsid w:val="007902EA"/>
    <w:rsid w:val="00793AC8"/>
    <w:rsid w:val="00793E49"/>
    <w:rsid w:val="00794558"/>
    <w:rsid w:val="00794CD8"/>
    <w:rsid w:val="00794ED2"/>
    <w:rsid w:val="00797F8C"/>
    <w:rsid w:val="007A38FB"/>
    <w:rsid w:val="007B1BC6"/>
    <w:rsid w:val="007B1E41"/>
    <w:rsid w:val="007B4522"/>
    <w:rsid w:val="007B54DB"/>
    <w:rsid w:val="007B5FB4"/>
    <w:rsid w:val="007C037D"/>
    <w:rsid w:val="007C1CF5"/>
    <w:rsid w:val="007C2362"/>
    <w:rsid w:val="007C3E70"/>
    <w:rsid w:val="007C40D4"/>
    <w:rsid w:val="007C4B48"/>
    <w:rsid w:val="007D2BFE"/>
    <w:rsid w:val="007D2F93"/>
    <w:rsid w:val="007D3CB6"/>
    <w:rsid w:val="007D4401"/>
    <w:rsid w:val="007D54A2"/>
    <w:rsid w:val="007D57A4"/>
    <w:rsid w:val="007D5BE0"/>
    <w:rsid w:val="007E16A5"/>
    <w:rsid w:val="007E1F43"/>
    <w:rsid w:val="007E2173"/>
    <w:rsid w:val="007E2CAC"/>
    <w:rsid w:val="007E4126"/>
    <w:rsid w:val="007E4BDA"/>
    <w:rsid w:val="007E5C9F"/>
    <w:rsid w:val="007E5E94"/>
    <w:rsid w:val="007E6E54"/>
    <w:rsid w:val="007E6E59"/>
    <w:rsid w:val="007E7CFC"/>
    <w:rsid w:val="007F0E65"/>
    <w:rsid w:val="007F127E"/>
    <w:rsid w:val="007F5A88"/>
    <w:rsid w:val="007F63E7"/>
    <w:rsid w:val="00800FA2"/>
    <w:rsid w:val="00806DAB"/>
    <w:rsid w:val="00810D5A"/>
    <w:rsid w:val="00810DA0"/>
    <w:rsid w:val="00816855"/>
    <w:rsid w:val="00821FE5"/>
    <w:rsid w:val="00822786"/>
    <w:rsid w:val="00824171"/>
    <w:rsid w:val="00827A7D"/>
    <w:rsid w:val="00830047"/>
    <w:rsid w:val="00831B9E"/>
    <w:rsid w:val="0083234B"/>
    <w:rsid w:val="0083405F"/>
    <w:rsid w:val="00835E46"/>
    <w:rsid w:val="008405BD"/>
    <w:rsid w:val="00847046"/>
    <w:rsid w:val="008472AA"/>
    <w:rsid w:val="00850FB8"/>
    <w:rsid w:val="00853C29"/>
    <w:rsid w:val="008549A0"/>
    <w:rsid w:val="00856236"/>
    <w:rsid w:val="008679A3"/>
    <w:rsid w:val="0087159E"/>
    <w:rsid w:val="0087312C"/>
    <w:rsid w:val="00880D7C"/>
    <w:rsid w:val="00883702"/>
    <w:rsid w:val="00887F58"/>
    <w:rsid w:val="00894ACC"/>
    <w:rsid w:val="008A05A4"/>
    <w:rsid w:val="008A0C4B"/>
    <w:rsid w:val="008A0DA0"/>
    <w:rsid w:val="008A325B"/>
    <w:rsid w:val="008A5769"/>
    <w:rsid w:val="008A7717"/>
    <w:rsid w:val="008B6387"/>
    <w:rsid w:val="008C3101"/>
    <w:rsid w:val="008C42BA"/>
    <w:rsid w:val="008D0499"/>
    <w:rsid w:val="008D10A9"/>
    <w:rsid w:val="008D2216"/>
    <w:rsid w:val="008D478C"/>
    <w:rsid w:val="008E43E7"/>
    <w:rsid w:val="008E7DDF"/>
    <w:rsid w:val="008F54DF"/>
    <w:rsid w:val="008F5FCE"/>
    <w:rsid w:val="008F606F"/>
    <w:rsid w:val="00904607"/>
    <w:rsid w:val="00904AE6"/>
    <w:rsid w:val="009054A3"/>
    <w:rsid w:val="00910A91"/>
    <w:rsid w:val="009125C8"/>
    <w:rsid w:val="0091300D"/>
    <w:rsid w:val="00916900"/>
    <w:rsid w:val="00917FA1"/>
    <w:rsid w:val="009212CC"/>
    <w:rsid w:val="0092543C"/>
    <w:rsid w:val="00926835"/>
    <w:rsid w:val="009313CC"/>
    <w:rsid w:val="00934D8A"/>
    <w:rsid w:val="009375A8"/>
    <w:rsid w:val="00942DBD"/>
    <w:rsid w:val="009433EC"/>
    <w:rsid w:val="00946FF7"/>
    <w:rsid w:val="00947580"/>
    <w:rsid w:val="009475C7"/>
    <w:rsid w:val="00947E2B"/>
    <w:rsid w:val="009520E8"/>
    <w:rsid w:val="009551C1"/>
    <w:rsid w:val="00955641"/>
    <w:rsid w:val="00960B63"/>
    <w:rsid w:val="00961376"/>
    <w:rsid w:val="009617DA"/>
    <w:rsid w:val="00962CEB"/>
    <w:rsid w:val="00963E6E"/>
    <w:rsid w:val="009651D0"/>
    <w:rsid w:val="00965B74"/>
    <w:rsid w:val="0096755B"/>
    <w:rsid w:val="00967589"/>
    <w:rsid w:val="00972606"/>
    <w:rsid w:val="009728A4"/>
    <w:rsid w:val="009770C2"/>
    <w:rsid w:val="009774B6"/>
    <w:rsid w:val="00981C61"/>
    <w:rsid w:val="0098220E"/>
    <w:rsid w:val="00982369"/>
    <w:rsid w:val="009834BF"/>
    <w:rsid w:val="0098443F"/>
    <w:rsid w:val="00986D75"/>
    <w:rsid w:val="00990FBD"/>
    <w:rsid w:val="00996A18"/>
    <w:rsid w:val="009A038F"/>
    <w:rsid w:val="009A15C0"/>
    <w:rsid w:val="009A25BB"/>
    <w:rsid w:val="009A2E14"/>
    <w:rsid w:val="009A45A8"/>
    <w:rsid w:val="009B053A"/>
    <w:rsid w:val="009B3B3F"/>
    <w:rsid w:val="009B3EB2"/>
    <w:rsid w:val="009B6734"/>
    <w:rsid w:val="009D00F4"/>
    <w:rsid w:val="009D08A1"/>
    <w:rsid w:val="009D0CE9"/>
    <w:rsid w:val="009D439D"/>
    <w:rsid w:val="009D4C2B"/>
    <w:rsid w:val="009D516D"/>
    <w:rsid w:val="009E0AA7"/>
    <w:rsid w:val="009E1788"/>
    <w:rsid w:val="009E3DEC"/>
    <w:rsid w:val="009E5028"/>
    <w:rsid w:val="009E55F8"/>
    <w:rsid w:val="009F2DFA"/>
    <w:rsid w:val="009F3D9B"/>
    <w:rsid w:val="009F6828"/>
    <w:rsid w:val="009F7390"/>
    <w:rsid w:val="00A02EB0"/>
    <w:rsid w:val="00A03662"/>
    <w:rsid w:val="00A05C56"/>
    <w:rsid w:val="00A06A38"/>
    <w:rsid w:val="00A07406"/>
    <w:rsid w:val="00A130A2"/>
    <w:rsid w:val="00A135B4"/>
    <w:rsid w:val="00A16A33"/>
    <w:rsid w:val="00A170B7"/>
    <w:rsid w:val="00A17A7E"/>
    <w:rsid w:val="00A17A8B"/>
    <w:rsid w:val="00A20CC9"/>
    <w:rsid w:val="00A21AE9"/>
    <w:rsid w:val="00A220CB"/>
    <w:rsid w:val="00A27FCE"/>
    <w:rsid w:val="00A34EBE"/>
    <w:rsid w:val="00A4315B"/>
    <w:rsid w:val="00A4486A"/>
    <w:rsid w:val="00A4515A"/>
    <w:rsid w:val="00A51DEA"/>
    <w:rsid w:val="00A53390"/>
    <w:rsid w:val="00A54B12"/>
    <w:rsid w:val="00A55620"/>
    <w:rsid w:val="00A56532"/>
    <w:rsid w:val="00A66862"/>
    <w:rsid w:val="00A71161"/>
    <w:rsid w:val="00A723DA"/>
    <w:rsid w:val="00A7289C"/>
    <w:rsid w:val="00A74EEF"/>
    <w:rsid w:val="00A75E0A"/>
    <w:rsid w:val="00A75E47"/>
    <w:rsid w:val="00A76998"/>
    <w:rsid w:val="00A77C06"/>
    <w:rsid w:val="00A77EF7"/>
    <w:rsid w:val="00A77FC7"/>
    <w:rsid w:val="00A811E4"/>
    <w:rsid w:val="00A86B43"/>
    <w:rsid w:val="00A8711C"/>
    <w:rsid w:val="00A90400"/>
    <w:rsid w:val="00AA698F"/>
    <w:rsid w:val="00AA793C"/>
    <w:rsid w:val="00AA7A78"/>
    <w:rsid w:val="00AB3CEC"/>
    <w:rsid w:val="00AB5803"/>
    <w:rsid w:val="00AB5CDE"/>
    <w:rsid w:val="00AC128B"/>
    <w:rsid w:val="00AC156C"/>
    <w:rsid w:val="00AC21C3"/>
    <w:rsid w:val="00AC24F6"/>
    <w:rsid w:val="00AD4900"/>
    <w:rsid w:val="00AD65CD"/>
    <w:rsid w:val="00AD6FF0"/>
    <w:rsid w:val="00AE28A4"/>
    <w:rsid w:val="00AF0E1A"/>
    <w:rsid w:val="00AF4F2C"/>
    <w:rsid w:val="00AF6551"/>
    <w:rsid w:val="00AF7E51"/>
    <w:rsid w:val="00B03F33"/>
    <w:rsid w:val="00B04B64"/>
    <w:rsid w:val="00B06974"/>
    <w:rsid w:val="00B06DCE"/>
    <w:rsid w:val="00B11F3F"/>
    <w:rsid w:val="00B13A4A"/>
    <w:rsid w:val="00B144A9"/>
    <w:rsid w:val="00B15BF7"/>
    <w:rsid w:val="00B22375"/>
    <w:rsid w:val="00B27016"/>
    <w:rsid w:val="00B3237C"/>
    <w:rsid w:val="00B32E77"/>
    <w:rsid w:val="00B35092"/>
    <w:rsid w:val="00B366DC"/>
    <w:rsid w:val="00B36758"/>
    <w:rsid w:val="00B42216"/>
    <w:rsid w:val="00B42E8C"/>
    <w:rsid w:val="00B4354E"/>
    <w:rsid w:val="00B453CC"/>
    <w:rsid w:val="00B52060"/>
    <w:rsid w:val="00B55D27"/>
    <w:rsid w:val="00B564FA"/>
    <w:rsid w:val="00B56C18"/>
    <w:rsid w:val="00B62AD6"/>
    <w:rsid w:val="00B63222"/>
    <w:rsid w:val="00B638DF"/>
    <w:rsid w:val="00B66FF4"/>
    <w:rsid w:val="00B70BA1"/>
    <w:rsid w:val="00B758FC"/>
    <w:rsid w:val="00B75DCA"/>
    <w:rsid w:val="00B82DCF"/>
    <w:rsid w:val="00B83A90"/>
    <w:rsid w:val="00B83DA7"/>
    <w:rsid w:val="00B95F3C"/>
    <w:rsid w:val="00B965D5"/>
    <w:rsid w:val="00B967AE"/>
    <w:rsid w:val="00BA05E5"/>
    <w:rsid w:val="00BA71C9"/>
    <w:rsid w:val="00BA781A"/>
    <w:rsid w:val="00BA7AC8"/>
    <w:rsid w:val="00BB5B8F"/>
    <w:rsid w:val="00BC00F1"/>
    <w:rsid w:val="00BC07F2"/>
    <w:rsid w:val="00BC1D0F"/>
    <w:rsid w:val="00BC21DF"/>
    <w:rsid w:val="00BC293E"/>
    <w:rsid w:val="00BC64D3"/>
    <w:rsid w:val="00BC77E4"/>
    <w:rsid w:val="00BD15A7"/>
    <w:rsid w:val="00BD2844"/>
    <w:rsid w:val="00BD3CA4"/>
    <w:rsid w:val="00BE31F6"/>
    <w:rsid w:val="00BE642D"/>
    <w:rsid w:val="00BE6DFA"/>
    <w:rsid w:val="00BF0936"/>
    <w:rsid w:val="00BF0B73"/>
    <w:rsid w:val="00BF1C37"/>
    <w:rsid w:val="00BF4654"/>
    <w:rsid w:val="00BF4CA4"/>
    <w:rsid w:val="00BF63CA"/>
    <w:rsid w:val="00BF7ED9"/>
    <w:rsid w:val="00C007BF"/>
    <w:rsid w:val="00C0125C"/>
    <w:rsid w:val="00C024DF"/>
    <w:rsid w:val="00C10274"/>
    <w:rsid w:val="00C10FF9"/>
    <w:rsid w:val="00C11723"/>
    <w:rsid w:val="00C128F5"/>
    <w:rsid w:val="00C14882"/>
    <w:rsid w:val="00C1643A"/>
    <w:rsid w:val="00C16C56"/>
    <w:rsid w:val="00C16D30"/>
    <w:rsid w:val="00C17083"/>
    <w:rsid w:val="00C2211C"/>
    <w:rsid w:val="00C24D13"/>
    <w:rsid w:val="00C2568C"/>
    <w:rsid w:val="00C26310"/>
    <w:rsid w:val="00C27BE6"/>
    <w:rsid w:val="00C332DC"/>
    <w:rsid w:val="00C35357"/>
    <w:rsid w:val="00C36E8B"/>
    <w:rsid w:val="00C373EA"/>
    <w:rsid w:val="00C4110C"/>
    <w:rsid w:val="00C44BF6"/>
    <w:rsid w:val="00C52B4B"/>
    <w:rsid w:val="00C534CF"/>
    <w:rsid w:val="00C55B9A"/>
    <w:rsid w:val="00C60A26"/>
    <w:rsid w:val="00C61738"/>
    <w:rsid w:val="00C63FA2"/>
    <w:rsid w:val="00C65EF3"/>
    <w:rsid w:val="00C66955"/>
    <w:rsid w:val="00C7027E"/>
    <w:rsid w:val="00C712DD"/>
    <w:rsid w:val="00C72EF6"/>
    <w:rsid w:val="00C733C9"/>
    <w:rsid w:val="00C76498"/>
    <w:rsid w:val="00C767A1"/>
    <w:rsid w:val="00C80BF3"/>
    <w:rsid w:val="00C8199D"/>
    <w:rsid w:val="00C81F40"/>
    <w:rsid w:val="00C81FB5"/>
    <w:rsid w:val="00C83962"/>
    <w:rsid w:val="00C848FC"/>
    <w:rsid w:val="00C853CA"/>
    <w:rsid w:val="00C86D35"/>
    <w:rsid w:val="00C918A8"/>
    <w:rsid w:val="00C924AC"/>
    <w:rsid w:val="00C964F5"/>
    <w:rsid w:val="00C97373"/>
    <w:rsid w:val="00CA3136"/>
    <w:rsid w:val="00CA7954"/>
    <w:rsid w:val="00CA7B8B"/>
    <w:rsid w:val="00CB02EA"/>
    <w:rsid w:val="00CB095F"/>
    <w:rsid w:val="00CB10DC"/>
    <w:rsid w:val="00CB22C9"/>
    <w:rsid w:val="00CB45F2"/>
    <w:rsid w:val="00CB774F"/>
    <w:rsid w:val="00CC47EB"/>
    <w:rsid w:val="00CD0740"/>
    <w:rsid w:val="00CE0281"/>
    <w:rsid w:val="00CE1C85"/>
    <w:rsid w:val="00CE4C52"/>
    <w:rsid w:val="00CE5C93"/>
    <w:rsid w:val="00CF67CD"/>
    <w:rsid w:val="00D0288A"/>
    <w:rsid w:val="00D04235"/>
    <w:rsid w:val="00D04B6A"/>
    <w:rsid w:val="00D1086F"/>
    <w:rsid w:val="00D11F9A"/>
    <w:rsid w:val="00D12894"/>
    <w:rsid w:val="00D12E22"/>
    <w:rsid w:val="00D14B2B"/>
    <w:rsid w:val="00D208FF"/>
    <w:rsid w:val="00D20BA7"/>
    <w:rsid w:val="00D223ED"/>
    <w:rsid w:val="00D251A7"/>
    <w:rsid w:val="00D264AE"/>
    <w:rsid w:val="00D30318"/>
    <w:rsid w:val="00D313F4"/>
    <w:rsid w:val="00D319CA"/>
    <w:rsid w:val="00D35487"/>
    <w:rsid w:val="00D4455D"/>
    <w:rsid w:val="00D446A8"/>
    <w:rsid w:val="00D5278B"/>
    <w:rsid w:val="00D52945"/>
    <w:rsid w:val="00D53B35"/>
    <w:rsid w:val="00D5552C"/>
    <w:rsid w:val="00D56070"/>
    <w:rsid w:val="00D56186"/>
    <w:rsid w:val="00D60DE8"/>
    <w:rsid w:val="00D638D8"/>
    <w:rsid w:val="00D649D7"/>
    <w:rsid w:val="00D65FE2"/>
    <w:rsid w:val="00D70F90"/>
    <w:rsid w:val="00D71D7D"/>
    <w:rsid w:val="00D8225A"/>
    <w:rsid w:val="00D853BA"/>
    <w:rsid w:val="00D85816"/>
    <w:rsid w:val="00D94526"/>
    <w:rsid w:val="00D9482B"/>
    <w:rsid w:val="00D956D4"/>
    <w:rsid w:val="00D95D19"/>
    <w:rsid w:val="00DA2267"/>
    <w:rsid w:val="00DA2DE4"/>
    <w:rsid w:val="00DA5457"/>
    <w:rsid w:val="00DA56C0"/>
    <w:rsid w:val="00DB2FE5"/>
    <w:rsid w:val="00DB426C"/>
    <w:rsid w:val="00DB4DBD"/>
    <w:rsid w:val="00DB5ECA"/>
    <w:rsid w:val="00DC005C"/>
    <w:rsid w:val="00DC6B66"/>
    <w:rsid w:val="00DD7870"/>
    <w:rsid w:val="00DE0847"/>
    <w:rsid w:val="00DE3512"/>
    <w:rsid w:val="00DE5A16"/>
    <w:rsid w:val="00DF1497"/>
    <w:rsid w:val="00DF2629"/>
    <w:rsid w:val="00DF3D0F"/>
    <w:rsid w:val="00E00044"/>
    <w:rsid w:val="00E0216C"/>
    <w:rsid w:val="00E021AE"/>
    <w:rsid w:val="00E03A32"/>
    <w:rsid w:val="00E049C0"/>
    <w:rsid w:val="00E04E11"/>
    <w:rsid w:val="00E0533A"/>
    <w:rsid w:val="00E1374B"/>
    <w:rsid w:val="00E14975"/>
    <w:rsid w:val="00E1727A"/>
    <w:rsid w:val="00E173D6"/>
    <w:rsid w:val="00E21822"/>
    <w:rsid w:val="00E2321C"/>
    <w:rsid w:val="00E236B4"/>
    <w:rsid w:val="00E23CBC"/>
    <w:rsid w:val="00E2597E"/>
    <w:rsid w:val="00E2792F"/>
    <w:rsid w:val="00E34887"/>
    <w:rsid w:val="00E357AE"/>
    <w:rsid w:val="00E35ED9"/>
    <w:rsid w:val="00E413E7"/>
    <w:rsid w:val="00E45571"/>
    <w:rsid w:val="00E45AAE"/>
    <w:rsid w:val="00E50BFE"/>
    <w:rsid w:val="00E53BCE"/>
    <w:rsid w:val="00E54FD8"/>
    <w:rsid w:val="00E550B5"/>
    <w:rsid w:val="00E56066"/>
    <w:rsid w:val="00E56FFE"/>
    <w:rsid w:val="00E57A85"/>
    <w:rsid w:val="00E60277"/>
    <w:rsid w:val="00E6413C"/>
    <w:rsid w:val="00E64F83"/>
    <w:rsid w:val="00E714C4"/>
    <w:rsid w:val="00E7312C"/>
    <w:rsid w:val="00E7351C"/>
    <w:rsid w:val="00E73DC4"/>
    <w:rsid w:val="00E73DF8"/>
    <w:rsid w:val="00E740EE"/>
    <w:rsid w:val="00E74D77"/>
    <w:rsid w:val="00E765CE"/>
    <w:rsid w:val="00E765EA"/>
    <w:rsid w:val="00E81B0E"/>
    <w:rsid w:val="00E940FA"/>
    <w:rsid w:val="00E943AA"/>
    <w:rsid w:val="00E975BE"/>
    <w:rsid w:val="00E97C3B"/>
    <w:rsid w:val="00EA38B8"/>
    <w:rsid w:val="00EA492B"/>
    <w:rsid w:val="00EA49AC"/>
    <w:rsid w:val="00EA4A62"/>
    <w:rsid w:val="00EA558E"/>
    <w:rsid w:val="00EB285F"/>
    <w:rsid w:val="00EB3B97"/>
    <w:rsid w:val="00EB4FAC"/>
    <w:rsid w:val="00EB63C2"/>
    <w:rsid w:val="00EB7E47"/>
    <w:rsid w:val="00EC2372"/>
    <w:rsid w:val="00EC5E61"/>
    <w:rsid w:val="00ED3417"/>
    <w:rsid w:val="00ED38C1"/>
    <w:rsid w:val="00ED4A6E"/>
    <w:rsid w:val="00ED4A8C"/>
    <w:rsid w:val="00ED5A1B"/>
    <w:rsid w:val="00ED6B69"/>
    <w:rsid w:val="00ED6C6D"/>
    <w:rsid w:val="00EE4781"/>
    <w:rsid w:val="00EE77FE"/>
    <w:rsid w:val="00EF52FD"/>
    <w:rsid w:val="00EF542D"/>
    <w:rsid w:val="00EF6812"/>
    <w:rsid w:val="00EF774F"/>
    <w:rsid w:val="00F00495"/>
    <w:rsid w:val="00F01B04"/>
    <w:rsid w:val="00F03AF2"/>
    <w:rsid w:val="00F16D4F"/>
    <w:rsid w:val="00F204C8"/>
    <w:rsid w:val="00F231E9"/>
    <w:rsid w:val="00F253EB"/>
    <w:rsid w:val="00F25E64"/>
    <w:rsid w:val="00F26AC6"/>
    <w:rsid w:val="00F30FCB"/>
    <w:rsid w:val="00F34C37"/>
    <w:rsid w:val="00F40123"/>
    <w:rsid w:val="00F40DCF"/>
    <w:rsid w:val="00F41B09"/>
    <w:rsid w:val="00F523C7"/>
    <w:rsid w:val="00F5523B"/>
    <w:rsid w:val="00F55A7D"/>
    <w:rsid w:val="00F56BF0"/>
    <w:rsid w:val="00F56FC2"/>
    <w:rsid w:val="00F57255"/>
    <w:rsid w:val="00F57886"/>
    <w:rsid w:val="00F6070A"/>
    <w:rsid w:val="00F620C6"/>
    <w:rsid w:val="00F67297"/>
    <w:rsid w:val="00F67B1A"/>
    <w:rsid w:val="00F7255F"/>
    <w:rsid w:val="00F728BE"/>
    <w:rsid w:val="00F77100"/>
    <w:rsid w:val="00F801C8"/>
    <w:rsid w:val="00F81196"/>
    <w:rsid w:val="00F817A8"/>
    <w:rsid w:val="00F8180F"/>
    <w:rsid w:val="00F82C68"/>
    <w:rsid w:val="00F83379"/>
    <w:rsid w:val="00F91328"/>
    <w:rsid w:val="00F97586"/>
    <w:rsid w:val="00FA2B97"/>
    <w:rsid w:val="00FA3934"/>
    <w:rsid w:val="00FB6686"/>
    <w:rsid w:val="00FD0EF8"/>
    <w:rsid w:val="00FD1936"/>
    <w:rsid w:val="00FD3173"/>
    <w:rsid w:val="00FD5463"/>
    <w:rsid w:val="00FD73B3"/>
    <w:rsid w:val="00FE1450"/>
    <w:rsid w:val="00FE5119"/>
    <w:rsid w:val="00FF00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88A024"/>
  <w14:defaultImageDpi w14:val="32767"/>
  <w15:chartTrackingRefBased/>
  <w15:docId w15:val="{BC9EFBEA-722B-4766-8377-3EA9C8FD3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05A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65CD"/>
    <w:pPr>
      <w:tabs>
        <w:tab w:val="center" w:pos="4513"/>
        <w:tab w:val="right" w:pos="9026"/>
      </w:tabs>
    </w:pPr>
  </w:style>
  <w:style w:type="character" w:customStyle="1" w:styleId="HeaderChar">
    <w:name w:val="Header Char"/>
    <w:basedOn w:val="DefaultParagraphFont"/>
    <w:link w:val="Header"/>
    <w:uiPriority w:val="99"/>
    <w:rsid w:val="00AD65CD"/>
  </w:style>
  <w:style w:type="paragraph" w:styleId="Footer">
    <w:name w:val="footer"/>
    <w:basedOn w:val="Normal"/>
    <w:link w:val="FooterChar"/>
    <w:uiPriority w:val="99"/>
    <w:unhideWhenUsed/>
    <w:rsid w:val="00AD65CD"/>
    <w:pPr>
      <w:tabs>
        <w:tab w:val="center" w:pos="4513"/>
        <w:tab w:val="right" w:pos="9026"/>
      </w:tabs>
    </w:pPr>
  </w:style>
  <w:style w:type="character" w:customStyle="1" w:styleId="FooterChar">
    <w:name w:val="Footer Char"/>
    <w:basedOn w:val="DefaultParagraphFont"/>
    <w:link w:val="Footer"/>
    <w:uiPriority w:val="99"/>
    <w:rsid w:val="00AD65CD"/>
  </w:style>
  <w:style w:type="character" w:styleId="Hyperlink">
    <w:name w:val="Hyperlink"/>
    <w:basedOn w:val="DefaultParagraphFont"/>
    <w:uiPriority w:val="99"/>
    <w:unhideWhenUsed/>
    <w:rsid w:val="00245355"/>
    <w:rPr>
      <w:color w:val="0563C1" w:themeColor="hyperlink"/>
      <w:u w:val="single"/>
    </w:rPr>
  </w:style>
  <w:style w:type="character" w:styleId="PageNumber">
    <w:name w:val="page number"/>
    <w:basedOn w:val="DefaultParagraphFont"/>
    <w:uiPriority w:val="99"/>
    <w:semiHidden/>
    <w:unhideWhenUsed/>
    <w:rsid w:val="00B564FA"/>
  </w:style>
  <w:style w:type="table" w:styleId="TableGrid">
    <w:name w:val="Table Grid"/>
    <w:basedOn w:val="TableNormal"/>
    <w:uiPriority w:val="39"/>
    <w:rsid w:val="009A2E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D4623"/>
    <w:pPr>
      <w:ind w:left="720"/>
      <w:contextualSpacing/>
    </w:pPr>
  </w:style>
  <w:style w:type="character" w:styleId="UnresolvedMention">
    <w:name w:val="Unresolved Mention"/>
    <w:basedOn w:val="DefaultParagraphFont"/>
    <w:uiPriority w:val="99"/>
    <w:rsid w:val="007C40D4"/>
    <w:rPr>
      <w:color w:val="605E5C"/>
      <w:shd w:val="clear" w:color="auto" w:fill="E1DFDD"/>
    </w:rPr>
  </w:style>
  <w:style w:type="character" w:customStyle="1" w:styleId="Heading1Char">
    <w:name w:val="Heading 1 Char"/>
    <w:basedOn w:val="DefaultParagraphFont"/>
    <w:link w:val="Heading1"/>
    <w:uiPriority w:val="9"/>
    <w:rsid w:val="008A05A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s://www.hse.gov.uk/pubns/priced/l64.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14B3A45-1ECD-4A67-9124-40AD5AB5F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968</Words>
  <Characters>5523</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Kirk</dc:creator>
  <cp:keywords/>
  <dc:description/>
  <cp:lastModifiedBy>Steve Dilloway</cp:lastModifiedBy>
  <cp:revision>3</cp:revision>
  <cp:lastPrinted>2022-08-03T04:58:00Z</cp:lastPrinted>
  <dcterms:created xsi:type="dcterms:W3CDTF">2026-01-24T15:52:00Z</dcterms:created>
  <dcterms:modified xsi:type="dcterms:W3CDTF">2026-02-17T14:10:00Z</dcterms:modified>
</cp:coreProperties>
</file>