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D8E" w14:textId="77777777" w:rsidR="008A05A4" w:rsidRDefault="00905EB5" w:rsidP="00B3455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9F24DB" wp14:editId="5655AF5D">
            <wp:extent cx="5779770" cy="969645"/>
            <wp:effectExtent l="0" t="0" r="0" b="1905"/>
            <wp:docPr id="1928228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986E3" w14:textId="35A9E871" w:rsidR="00267D82" w:rsidRDefault="00435274" w:rsidP="00267D82">
      <w:pPr>
        <w:rPr>
          <w:sz w:val="22"/>
          <w:szCs w:val="22"/>
        </w:rPr>
      </w:pPr>
      <w:r>
        <w:rPr>
          <w:sz w:val="22"/>
          <w:szCs w:val="22"/>
        </w:rPr>
        <w:t xml:space="preserve">August 2025 </w:t>
      </w:r>
    </w:p>
    <w:p w14:paraId="48987C7E" w14:textId="77777777" w:rsidR="00267D82" w:rsidRDefault="00267D82" w:rsidP="00267D82">
      <w:pPr>
        <w:jc w:val="center"/>
        <w:rPr>
          <w:sz w:val="22"/>
          <w:szCs w:val="22"/>
        </w:rPr>
      </w:pPr>
    </w:p>
    <w:p w14:paraId="1CECD94C" w14:textId="4BE4907D" w:rsidR="00B34554" w:rsidRPr="00D25ABB" w:rsidRDefault="00DB2A96" w:rsidP="00267D8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Addendum </w:t>
      </w:r>
      <w:r w:rsidR="00435274">
        <w:rPr>
          <w:b/>
          <w:bCs/>
          <w:sz w:val="22"/>
          <w:szCs w:val="22"/>
          <w:u w:val="single"/>
        </w:rPr>
        <w:t xml:space="preserve">to BS 9792-2025 </w:t>
      </w:r>
      <w:r w:rsidR="00C3519A">
        <w:rPr>
          <w:b/>
          <w:bCs/>
          <w:sz w:val="22"/>
          <w:szCs w:val="22"/>
          <w:u w:val="single"/>
        </w:rPr>
        <w:t xml:space="preserve">for Housing </w:t>
      </w:r>
      <w:r w:rsidR="004263D1">
        <w:rPr>
          <w:b/>
          <w:bCs/>
          <w:sz w:val="22"/>
          <w:szCs w:val="22"/>
          <w:u w:val="single"/>
        </w:rPr>
        <w:t>A</w:t>
      </w:r>
      <w:r w:rsidR="00C3519A">
        <w:rPr>
          <w:b/>
          <w:bCs/>
          <w:sz w:val="22"/>
          <w:szCs w:val="22"/>
          <w:u w:val="single"/>
        </w:rPr>
        <w:t xml:space="preserve">pplications. </w:t>
      </w:r>
    </w:p>
    <w:p w14:paraId="45590530" w14:textId="77777777" w:rsidR="00B34554" w:rsidRPr="00B34554" w:rsidRDefault="00B34554" w:rsidP="00B34554">
      <w:pPr>
        <w:rPr>
          <w:sz w:val="22"/>
          <w:szCs w:val="22"/>
        </w:rPr>
      </w:pPr>
    </w:p>
    <w:p w14:paraId="3EA6AE71" w14:textId="08FEDD6C" w:rsidR="007E37FA" w:rsidRDefault="0080719C" w:rsidP="007E37FA">
      <w:pPr>
        <w:rPr>
          <w:sz w:val="22"/>
          <w:szCs w:val="22"/>
        </w:rPr>
      </w:pPr>
      <w:r>
        <w:rPr>
          <w:sz w:val="22"/>
          <w:szCs w:val="22"/>
        </w:rPr>
        <w:t xml:space="preserve">Following the publication of BS 9792 the following elements are now relevant to an FRA with a sleep-in provision and need to be adequately understood by the </w:t>
      </w:r>
      <w:r w:rsidR="006D3A44">
        <w:rPr>
          <w:sz w:val="22"/>
          <w:szCs w:val="22"/>
        </w:rPr>
        <w:t xml:space="preserve">Nominated Responsible Person, this term for sleeping sites has replaced that previously used and understood </w:t>
      </w:r>
      <w:r w:rsidR="004263D1">
        <w:rPr>
          <w:sz w:val="22"/>
          <w:szCs w:val="22"/>
        </w:rPr>
        <w:t xml:space="preserve">as </w:t>
      </w:r>
      <w:r w:rsidR="006D3A44">
        <w:rPr>
          <w:sz w:val="22"/>
          <w:szCs w:val="22"/>
        </w:rPr>
        <w:t xml:space="preserve">the RP. </w:t>
      </w:r>
    </w:p>
    <w:p w14:paraId="6FA17C1F" w14:textId="77777777" w:rsidR="006D3A44" w:rsidRDefault="006D3A44" w:rsidP="007E37FA">
      <w:pPr>
        <w:rPr>
          <w:sz w:val="22"/>
          <w:szCs w:val="22"/>
        </w:rPr>
      </w:pPr>
    </w:p>
    <w:p w14:paraId="49132031" w14:textId="5021F91F" w:rsidR="00351BAE" w:rsidRDefault="00EC0F20" w:rsidP="007E37FA">
      <w:pPr>
        <w:rPr>
          <w:sz w:val="22"/>
          <w:szCs w:val="22"/>
        </w:rPr>
      </w:pPr>
      <w:r>
        <w:rPr>
          <w:sz w:val="22"/>
          <w:szCs w:val="22"/>
        </w:rPr>
        <w:t>This new</w:t>
      </w:r>
      <w:r w:rsidRPr="00EC0F20">
        <w:t xml:space="preserve"> </w:t>
      </w:r>
      <w:r w:rsidRPr="00EC0F20">
        <w:rPr>
          <w:sz w:val="22"/>
          <w:szCs w:val="22"/>
        </w:rPr>
        <w:t xml:space="preserve">Code of Practice provides a comprehensive framework and documentation examples for assessing fire risks in residential settings, taking into account the latest legislation and fire safety standards. </w:t>
      </w:r>
    </w:p>
    <w:p w14:paraId="4E629DE4" w14:textId="77777777" w:rsidR="00351BAE" w:rsidRDefault="00351BAE" w:rsidP="007E37FA">
      <w:pPr>
        <w:rPr>
          <w:sz w:val="22"/>
          <w:szCs w:val="22"/>
        </w:rPr>
      </w:pPr>
    </w:p>
    <w:p w14:paraId="6DB89DE0" w14:textId="5D7BF400" w:rsidR="006D3A44" w:rsidRDefault="00EC0F20" w:rsidP="007E37FA">
      <w:pPr>
        <w:rPr>
          <w:sz w:val="22"/>
          <w:szCs w:val="22"/>
        </w:rPr>
      </w:pPr>
      <w:r w:rsidRPr="00EC0F20">
        <w:rPr>
          <w:sz w:val="22"/>
          <w:szCs w:val="22"/>
        </w:rPr>
        <w:t>It introduces a “clearer structure, streamlined commentary, and a refreshed pro</w:t>
      </w:r>
      <w:r w:rsidR="004263D1">
        <w:rPr>
          <w:sz w:val="22"/>
          <w:szCs w:val="22"/>
        </w:rPr>
        <w:t>-</w:t>
      </w:r>
      <w:r w:rsidRPr="00EC0F20">
        <w:rPr>
          <w:sz w:val="22"/>
          <w:szCs w:val="22"/>
        </w:rPr>
        <w:t>forma for documenting fire risk assessments”.</w:t>
      </w:r>
      <w:r>
        <w:rPr>
          <w:sz w:val="22"/>
          <w:szCs w:val="22"/>
        </w:rPr>
        <w:t xml:space="preserve"> </w:t>
      </w:r>
    </w:p>
    <w:p w14:paraId="702F418D" w14:textId="77777777" w:rsidR="00351BAE" w:rsidRDefault="00351BAE" w:rsidP="007E37FA">
      <w:pPr>
        <w:rPr>
          <w:sz w:val="22"/>
          <w:szCs w:val="22"/>
        </w:rPr>
      </w:pPr>
    </w:p>
    <w:p w14:paraId="7ECA94CC" w14:textId="54364233" w:rsidR="00926B94" w:rsidRPr="00926B94" w:rsidRDefault="00926B94" w:rsidP="00926B94">
      <w:pPr>
        <w:rPr>
          <w:sz w:val="22"/>
          <w:szCs w:val="22"/>
        </w:rPr>
      </w:pPr>
      <w:r w:rsidRPr="00926B94">
        <w:rPr>
          <w:sz w:val="22"/>
          <w:szCs w:val="22"/>
        </w:rPr>
        <w:t>Aimed at competent persons carrying out fire risk assessments</w:t>
      </w:r>
      <w:r w:rsidR="00D222D3">
        <w:rPr>
          <w:sz w:val="22"/>
          <w:szCs w:val="22"/>
        </w:rPr>
        <w:t xml:space="preserve"> (the BAFE certified assessor) and </w:t>
      </w:r>
      <w:r w:rsidRPr="00926B94">
        <w:rPr>
          <w:sz w:val="22"/>
          <w:szCs w:val="22"/>
        </w:rPr>
        <w:t>freeholders, managing agents, management companies</w:t>
      </w:r>
      <w:r w:rsidR="004263D1">
        <w:rPr>
          <w:sz w:val="22"/>
          <w:szCs w:val="22"/>
        </w:rPr>
        <w:t xml:space="preserve"> </w:t>
      </w:r>
      <w:r w:rsidRPr="00926B94">
        <w:rPr>
          <w:sz w:val="22"/>
          <w:szCs w:val="22"/>
        </w:rPr>
        <w:t>and housing providers</w:t>
      </w:r>
      <w:r w:rsidR="004263D1">
        <w:rPr>
          <w:sz w:val="22"/>
          <w:szCs w:val="22"/>
        </w:rPr>
        <w:t>,</w:t>
      </w:r>
      <w:r w:rsidR="00510DFB">
        <w:rPr>
          <w:sz w:val="22"/>
          <w:szCs w:val="22"/>
        </w:rPr>
        <w:t xml:space="preserve"> it gives some direction which can </w:t>
      </w:r>
      <w:r w:rsidRPr="00926B94">
        <w:rPr>
          <w:sz w:val="22"/>
          <w:szCs w:val="22"/>
        </w:rPr>
        <w:t>be applied to a broad range of residential premises, including:</w:t>
      </w:r>
    </w:p>
    <w:p w14:paraId="3CBB655F" w14:textId="77777777" w:rsidR="00926B94" w:rsidRPr="00926B94" w:rsidRDefault="00926B94" w:rsidP="00926B94">
      <w:pPr>
        <w:rPr>
          <w:sz w:val="22"/>
          <w:szCs w:val="22"/>
        </w:rPr>
      </w:pPr>
    </w:p>
    <w:p w14:paraId="7C2CD2BD" w14:textId="0E522903" w:rsidR="00926B94" w:rsidRDefault="00926B94" w:rsidP="00510DFB">
      <w:pPr>
        <w:numPr>
          <w:ilvl w:val="0"/>
          <w:numId w:val="10"/>
        </w:numPr>
        <w:rPr>
          <w:sz w:val="22"/>
          <w:szCs w:val="22"/>
        </w:rPr>
      </w:pPr>
      <w:r w:rsidRPr="00926B94">
        <w:rPr>
          <w:sz w:val="22"/>
          <w:szCs w:val="22"/>
        </w:rPr>
        <w:t>Houses in Multiple Occupation (HMOs)</w:t>
      </w:r>
    </w:p>
    <w:p w14:paraId="5E9D85B5" w14:textId="77777777" w:rsidR="00926B94" w:rsidRDefault="00926B94" w:rsidP="00926B94">
      <w:pPr>
        <w:numPr>
          <w:ilvl w:val="0"/>
          <w:numId w:val="10"/>
        </w:numPr>
        <w:rPr>
          <w:sz w:val="22"/>
          <w:szCs w:val="22"/>
        </w:rPr>
      </w:pPr>
      <w:r w:rsidRPr="003B519E">
        <w:rPr>
          <w:sz w:val="22"/>
          <w:szCs w:val="22"/>
        </w:rPr>
        <w:t>Blocks of flats or maisonettes (purpose-built or converted)</w:t>
      </w:r>
    </w:p>
    <w:p w14:paraId="5C1F6411" w14:textId="77777777" w:rsidR="00926B94" w:rsidRDefault="00926B94" w:rsidP="00926B94">
      <w:pPr>
        <w:numPr>
          <w:ilvl w:val="0"/>
          <w:numId w:val="10"/>
        </w:numPr>
        <w:rPr>
          <w:sz w:val="22"/>
          <w:szCs w:val="22"/>
        </w:rPr>
      </w:pPr>
      <w:r w:rsidRPr="003B519E">
        <w:rPr>
          <w:sz w:val="22"/>
          <w:szCs w:val="22"/>
        </w:rPr>
        <w:t>Specialised housing (as defined in the standard)</w:t>
      </w:r>
    </w:p>
    <w:p w14:paraId="3B4ECEEC" w14:textId="77777777" w:rsidR="00926B94" w:rsidRDefault="00926B94" w:rsidP="00926B94">
      <w:pPr>
        <w:numPr>
          <w:ilvl w:val="0"/>
          <w:numId w:val="10"/>
        </w:numPr>
        <w:rPr>
          <w:sz w:val="22"/>
          <w:szCs w:val="22"/>
        </w:rPr>
      </w:pPr>
      <w:r w:rsidRPr="003B519E">
        <w:rPr>
          <w:sz w:val="22"/>
          <w:szCs w:val="22"/>
        </w:rPr>
        <w:t>Student accommodation in any of the above forms</w:t>
      </w:r>
    </w:p>
    <w:p w14:paraId="5964F90B" w14:textId="1F1B0878" w:rsidR="00926B94" w:rsidRDefault="00926B94" w:rsidP="00926B94">
      <w:pPr>
        <w:numPr>
          <w:ilvl w:val="0"/>
          <w:numId w:val="10"/>
        </w:numPr>
        <w:rPr>
          <w:sz w:val="22"/>
          <w:szCs w:val="22"/>
        </w:rPr>
      </w:pPr>
      <w:r w:rsidRPr="003B519E">
        <w:rPr>
          <w:sz w:val="22"/>
          <w:szCs w:val="22"/>
        </w:rPr>
        <w:t>Access areas to residential spaces in mixed-use buildings</w:t>
      </w:r>
    </w:p>
    <w:p w14:paraId="5F7AFABD" w14:textId="77777777" w:rsidR="003B519E" w:rsidRPr="003B519E" w:rsidRDefault="003B519E" w:rsidP="003B519E">
      <w:pPr>
        <w:ind w:left="720"/>
        <w:rPr>
          <w:sz w:val="22"/>
          <w:szCs w:val="22"/>
        </w:rPr>
      </w:pPr>
    </w:p>
    <w:p w14:paraId="11B2F583" w14:textId="127BC8C7" w:rsidR="00926B94" w:rsidRPr="00926B94" w:rsidRDefault="00926B94" w:rsidP="00926B94">
      <w:pPr>
        <w:rPr>
          <w:sz w:val="22"/>
          <w:szCs w:val="22"/>
        </w:rPr>
      </w:pPr>
      <w:r w:rsidRPr="00926B94">
        <w:rPr>
          <w:sz w:val="22"/>
          <w:szCs w:val="22"/>
        </w:rPr>
        <w:t xml:space="preserve">As BSI states, the standard has been designed to allow assessors to determine the proportionate measures to help protect occupants and those nearby </w:t>
      </w:r>
      <w:r w:rsidR="002F2A53">
        <w:rPr>
          <w:sz w:val="22"/>
          <w:szCs w:val="22"/>
        </w:rPr>
        <w:t xml:space="preserve">and in adjoining buildings </w:t>
      </w:r>
      <w:r w:rsidRPr="00926B94">
        <w:rPr>
          <w:sz w:val="22"/>
          <w:szCs w:val="22"/>
        </w:rPr>
        <w:t>from fire hazards, with updated guidance for individuals with specific evacuation needs also included</w:t>
      </w:r>
      <w:r w:rsidR="002F2A53">
        <w:rPr>
          <w:sz w:val="22"/>
          <w:szCs w:val="22"/>
        </w:rPr>
        <w:t xml:space="preserve">, this may be (1) immediate simultaneous </w:t>
      </w:r>
      <w:r w:rsidR="0068201B">
        <w:rPr>
          <w:sz w:val="22"/>
          <w:szCs w:val="22"/>
        </w:rPr>
        <w:t xml:space="preserve">evacuation </w:t>
      </w:r>
    </w:p>
    <w:p w14:paraId="19816641" w14:textId="63CFCCC8" w:rsidR="00926B94" w:rsidRDefault="0068201B" w:rsidP="00926B94">
      <w:pPr>
        <w:rPr>
          <w:sz w:val="22"/>
          <w:szCs w:val="22"/>
        </w:rPr>
      </w:pPr>
      <w:r>
        <w:rPr>
          <w:sz w:val="22"/>
          <w:szCs w:val="22"/>
        </w:rPr>
        <w:t xml:space="preserve">(2) stay-put (if the fire door and compartment provision </w:t>
      </w:r>
      <w:r w:rsidR="0031065C">
        <w:rPr>
          <w:sz w:val="22"/>
          <w:szCs w:val="22"/>
        </w:rPr>
        <w:t>allows for this and (3) defend in place n</w:t>
      </w:r>
      <w:r w:rsidR="00C130B7">
        <w:rPr>
          <w:sz w:val="22"/>
          <w:szCs w:val="22"/>
        </w:rPr>
        <w:t xml:space="preserve">ormally used in care and supported living sites where full </w:t>
      </w:r>
      <w:r w:rsidR="004263D1">
        <w:rPr>
          <w:sz w:val="22"/>
          <w:szCs w:val="22"/>
        </w:rPr>
        <w:t xml:space="preserve">occupation </w:t>
      </w:r>
      <w:r w:rsidR="00C130B7">
        <w:rPr>
          <w:sz w:val="22"/>
          <w:szCs w:val="22"/>
        </w:rPr>
        <w:t xml:space="preserve">increases the risks to persons who are vulnerable or cannot </w:t>
      </w:r>
      <w:r w:rsidR="00E53D17">
        <w:rPr>
          <w:sz w:val="22"/>
          <w:szCs w:val="22"/>
        </w:rPr>
        <w:t xml:space="preserve">           self-evacuate</w:t>
      </w:r>
      <w:r w:rsidR="00C130B7">
        <w:rPr>
          <w:sz w:val="22"/>
          <w:szCs w:val="22"/>
        </w:rPr>
        <w:t xml:space="preserve">. </w:t>
      </w:r>
    </w:p>
    <w:p w14:paraId="3D9E9013" w14:textId="77777777" w:rsidR="00C130B7" w:rsidRPr="00926B94" w:rsidRDefault="00C130B7" w:rsidP="00926B94">
      <w:pPr>
        <w:rPr>
          <w:sz w:val="22"/>
          <w:szCs w:val="22"/>
        </w:rPr>
      </w:pPr>
    </w:p>
    <w:p w14:paraId="0CB84E36" w14:textId="77777777" w:rsidR="00E53D17" w:rsidRDefault="00926B94" w:rsidP="00926B94">
      <w:pPr>
        <w:rPr>
          <w:sz w:val="22"/>
          <w:szCs w:val="22"/>
        </w:rPr>
      </w:pPr>
      <w:r w:rsidRPr="00926B94">
        <w:rPr>
          <w:sz w:val="22"/>
          <w:szCs w:val="22"/>
        </w:rPr>
        <w:t xml:space="preserve">As such, the standard sees a full revision and formal upgrade of PAS 79-2:2020, following its withdrawal in 2020. </w:t>
      </w:r>
    </w:p>
    <w:p w14:paraId="4A448DC9" w14:textId="77777777" w:rsidR="00E53D17" w:rsidRDefault="00E53D17" w:rsidP="00926B94">
      <w:pPr>
        <w:rPr>
          <w:sz w:val="22"/>
          <w:szCs w:val="22"/>
        </w:rPr>
      </w:pPr>
    </w:p>
    <w:p w14:paraId="143C7FEB" w14:textId="5D6B32DA" w:rsidR="00926B94" w:rsidRPr="00926B94" w:rsidRDefault="00E53D17" w:rsidP="00926B94">
      <w:pPr>
        <w:rPr>
          <w:sz w:val="22"/>
          <w:szCs w:val="22"/>
        </w:rPr>
      </w:pPr>
      <w:r>
        <w:rPr>
          <w:sz w:val="22"/>
          <w:szCs w:val="22"/>
        </w:rPr>
        <w:t xml:space="preserve">It is hoped that this will give </w:t>
      </w:r>
      <w:r w:rsidR="00926B94" w:rsidRPr="00926B94">
        <w:rPr>
          <w:sz w:val="22"/>
          <w:szCs w:val="22"/>
        </w:rPr>
        <w:t>a clear focus on inclusivity, legal compliance, and modern best practice, BS 9792:2025 also complements standards such as PAS 9980 (external wall fire risk appraisals) and the forthcoming BS 8674 (competence for fire risk assessors).</w:t>
      </w:r>
    </w:p>
    <w:p w14:paraId="7004059A" w14:textId="77777777" w:rsidR="00926B94" w:rsidRPr="00926B94" w:rsidRDefault="00926B94" w:rsidP="00926B94">
      <w:pPr>
        <w:rPr>
          <w:sz w:val="22"/>
          <w:szCs w:val="22"/>
        </w:rPr>
      </w:pPr>
    </w:p>
    <w:p w14:paraId="6557DDBA" w14:textId="6A0E5CE4" w:rsidR="00926B94" w:rsidRPr="00926B94" w:rsidRDefault="00CF1B69" w:rsidP="00926B94">
      <w:pPr>
        <w:rPr>
          <w:sz w:val="22"/>
          <w:szCs w:val="22"/>
        </w:rPr>
      </w:pPr>
      <w:r>
        <w:rPr>
          <w:sz w:val="22"/>
          <w:szCs w:val="22"/>
        </w:rPr>
        <w:t xml:space="preserve">BSI’s view is that </w:t>
      </w:r>
      <w:r w:rsidR="007F5B96">
        <w:rPr>
          <w:sz w:val="22"/>
          <w:szCs w:val="22"/>
        </w:rPr>
        <w:t>t</w:t>
      </w:r>
      <w:r w:rsidR="00926B94" w:rsidRPr="00926B94">
        <w:rPr>
          <w:sz w:val="22"/>
          <w:szCs w:val="22"/>
        </w:rPr>
        <w:t>he issue of fire risk in residential accommodation should be front of mind for the whole sector</w:t>
      </w:r>
      <w:r w:rsidR="007F5B96">
        <w:rPr>
          <w:sz w:val="22"/>
          <w:szCs w:val="22"/>
        </w:rPr>
        <w:t>, t</w:t>
      </w:r>
      <w:r w:rsidR="00926B94" w:rsidRPr="00926B94">
        <w:rPr>
          <w:sz w:val="22"/>
          <w:szCs w:val="22"/>
        </w:rPr>
        <w:t xml:space="preserve">o </w:t>
      </w:r>
      <w:r w:rsidR="007F5B96">
        <w:rPr>
          <w:sz w:val="22"/>
          <w:szCs w:val="22"/>
        </w:rPr>
        <w:t>be aware and understand the risks</w:t>
      </w:r>
      <w:r w:rsidR="004263D1">
        <w:rPr>
          <w:sz w:val="22"/>
          <w:szCs w:val="22"/>
        </w:rPr>
        <w:t xml:space="preserve"> </w:t>
      </w:r>
      <w:r w:rsidR="009D662C">
        <w:rPr>
          <w:sz w:val="22"/>
          <w:szCs w:val="22"/>
        </w:rPr>
        <w:t xml:space="preserve">and to </w:t>
      </w:r>
      <w:r w:rsidR="00926B94" w:rsidRPr="00926B94">
        <w:rPr>
          <w:sz w:val="22"/>
          <w:szCs w:val="22"/>
        </w:rPr>
        <w:t>protect people</w:t>
      </w:r>
      <w:r w:rsidR="004263D1">
        <w:rPr>
          <w:sz w:val="22"/>
          <w:szCs w:val="22"/>
        </w:rPr>
        <w:t>,</w:t>
      </w:r>
      <w:r w:rsidR="00926B94" w:rsidRPr="00926B94">
        <w:rPr>
          <w:sz w:val="22"/>
          <w:szCs w:val="22"/>
        </w:rPr>
        <w:t xml:space="preserve"> it is critical that we ensure all standards reflect the latest evidence.</w:t>
      </w:r>
    </w:p>
    <w:p w14:paraId="76E22147" w14:textId="77777777" w:rsidR="00926B94" w:rsidRPr="00926B94" w:rsidRDefault="00926B94" w:rsidP="00926B94">
      <w:pPr>
        <w:rPr>
          <w:sz w:val="22"/>
          <w:szCs w:val="22"/>
        </w:rPr>
      </w:pPr>
    </w:p>
    <w:p w14:paraId="7DE4F453" w14:textId="440E7ADC" w:rsidR="00351BAE" w:rsidRDefault="00926B94" w:rsidP="00926B94">
      <w:pPr>
        <w:rPr>
          <w:sz w:val="22"/>
          <w:szCs w:val="22"/>
        </w:rPr>
      </w:pPr>
      <w:r w:rsidRPr="00926B94">
        <w:rPr>
          <w:sz w:val="22"/>
          <w:szCs w:val="22"/>
        </w:rPr>
        <w:t>The publication of this updated guidance marks a major step forward for residential fire safety. It is designed to deliver clarity, consistency, and assurance for housing providers, assessors, and all those committed to protecting lives</w:t>
      </w:r>
      <w:r w:rsidR="00362FA3">
        <w:rPr>
          <w:sz w:val="22"/>
          <w:szCs w:val="22"/>
        </w:rPr>
        <w:t xml:space="preserve">, it is supposed to </w:t>
      </w:r>
      <w:r w:rsidRPr="00926B94">
        <w:rPr>
          <w:sz w:val="22"/>
          <w:szCs w:val="22"/>
        </w:rPr>
        <w:t>set a new benchmark for safety planning and reflects a strengthened and collaborative commitment to transparency and the needs of diverse housing communities.</w:t>
      </w:r>
    </w:p>
    <w:p w14:paraId="6FFA1A09" w14:textId="77777777" w:rsidR="007E37FA" w:rsidRDefault="007E37FA" w:rsidP="007E37FA">
      <w:pPr>
        <w:rPr>
          <w:sz w:val="22"/>
          <w:szCs w:val="22"/>
        </w:rPr>
      </w:pPr>
    </w:p>
    <w:p w14:paraId="41E59EB3" w14:textId="21F3D160" w:rsidR="0087312C" w:rsidRPr="00741715" w:rsidRDefault="0087312C" w:rsidP="0087312C">
      <w:pPr>
        <w:rPr>
          <w:b/>
          <w:bCs/>
          <w:sz w:val="22"/>
          <w:szCs w:val="22"/>
        </w:rPr>
      </w:pPr>
      <w:r w:rsidRPr="00741715">
        <w:rPr>
          <w:b/>
          <w:bCs/>
          <w:sz w:val="22"/>
          <w:szCs w:val="22"/>
        </w:rPr>
        <w:t xml:space="preserve">Steve Dilloway BAFE SP205 </w:t>
      </w:r>
      <w:r w:rsidR="00DB2A96">
        <w:rPr>
          <w:b/>
          <w:bCs/>
          <w:sz w:val="22"/>
          <w:szCs w:val="22"/>
        </w:rPr>
        <w:t>C</w:t>
      </w:r>
      <w:r w:rsidRPr="00741715">
        <w:rPr>
          <w:b/>
          <w:bCs/>
          <w:sz w:val="22"/>
          <w:szCs w:val="22"/>
        </w:rPr>
        <w:t xml:space="preserve">ertified </w:t>
      </w:r>
      <w:r w:rsidR="00DB2A96">
        <w:rPr>
          <w:b/>
          <w:bCs/>
          <w:sz w:val="22"/>
          <w:szCs w:val="22"/>
        </w:rPr>
        <w:t>R</w:t>
      </w:r>
      <w:r w:rsidRPr="00741715">
        <w:rPr>
          <w:b/>
          <w:bCs/>
          <w:sz w:val="22"/>
          <w:szCs w:val="22"/>
        </w:rPr>
        <w:t xml:space="preserve">isk </w:t>
      </w:r>
      <w:r w:rsidR="00DB2A96">
        <w:rPr>
          <w:b/>
          <w:bCs/>
          <w:sz w:val="22"/>
          <w:szCs w:val="22"/>
        </w:rPr>
        <w:t>A</w:t>
      </w:r>
      <w:r w:rsidRPr="00741715">
        <w:rPr>
          <w:b/>
          <w:bCs/>
          <w:sz w:val="22"/>
          <w:szCs w:val="22"/>
        </w:rPr>
        <w:t xml:space="preserve">ssessor </w:t>
      </w:r>
    </w:p>
    <w:p w14:paraId="210618F0" w14:textId="77777777" w:rsidR="0087312C" w:rsidRPr="00741715" w:rsidRDefault="0087312C" w:rsidP="0087312C">
      <w:pPr>
        <w:rPr>
          <w:b/>
          <w:bCs/>
          <w:sz w:val="22"/>
          <w:szCs w:val="22"/>
        </w:rPr>
      </w:pPr>
    </w:p>
    <w:p w14:paraId="01F775D9" w14:textId="77777777" w:rsidR="0087312C" w:rsidRDefault="0087312C" w:rsidP="00E97C3B">
      <w:pPr>
        <w:rPr>
          <w:sz w:val="22"/>
          <w:szCs w:val="22"/>
        </w:rPr>
      </w:pPr>
    </w:p>
    <w:p w14:paraId="0D70C453" w14:textId="77777777" w:rsidR="00E97C3B" w:rsidRPr="00E97C3B" w:rsidRDefault="00E97C3B" w:rsidP="00E97C3B">
      <w:pPr>
        <w:rPr>
          <w:sz w:val="22"/>
          <w:szCs w:val="22"/>
        </w:rPr>
      </w:pPr>
    </w:p>
    <w:p w14:paraId="3A286A5D" w14:textId="77777777" w:rsidR="002D7AA0" w:rsidRPr="00E97C3B" w:rsidRDefault="002D7AA0">
      <w:pPr>
        <w:rPr>
          <w:sz w:val="22"/>
          <w:szCs w:val="22"/>
        </w:rPr>
      </w:pPr>
    </w:p>
    <w:sectPr w:rsidR="002D7AA0" w:rsidRPr="00E97C3B" w:rsidSect="003249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36C4" w14:textId="77777777" w:rsidR="00015311" w:rsidRDefault="00015311" w:rsidP="00AD65CD">
      <w:r>
        <w:separator/>
      </w:r>
    </w:p>
  </w:endnote>
  <w:endnote w:type="continuationSeparator" w:id="0">
    <w:p w14:paraId="45698040" w14:textId="77777777" w:rsidR="00015311" w:rsidRDefault="00015311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6C5751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5E8FB9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28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360D2" w14:textId="302BCC71" w:rsidR="00BC53A1" w:rsidRDefault="00BC5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6BFD7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BC8" w14:textId="77777777" w:rsidR="00335493" w:rsidRDefault="00335493" w:rsidP="001176B0">
    <w:pPr>
      <w:pStyle w:val="Footer"/>
      <w:ind w:right="-720" w:hanging="709"/>
    </w:pPr>
  </w:p>
  <w:p w14:paraId="535937F0" w14:textId="77777777" w:rsidR="009D08A1" w:rsidRDefault="009D08A1">
    <w:pPr>
      <w:pStyle w:val="Footer"/>
    </w:pPr>
  </w:p>
  <w:p w14:paraId="20C3DBB0" w14:textId="77777777" w:rsidR="009D08A1" w:rsidRDefault="009D08A1">
    <w:pPr>
      <w:pStyle w:val="Footer"/>
    </w:pPr>
  </w:p>
  <w:p w14:paraId="14CFBF30" w14:textId="77777777" w:rsidR="009D08A1" w:rsidRDefault="009D08A1">
    <w:pPr>
      <w:pStyle w:val="Footer"/>
    </w:pPr>
  </w:p>
  <w:p w14:paraId="00E65C86" w14:textId="77777777" w:rsidR="009D08A1" w:rsidRDefault="009D08A1">
    <w:pPr>
      <w:pStyle w:val="Footer"/>
    </w:pPr>
  </w:p>
  <w:p w14:paraId="20782A1E" w14:textId="77777777" w:rsidR="009D08A1" w:rsidRDefault="009D08A1">
    <w:pPr>
      <w:pStyle w:val="Footer"/>
    </w:pPr>
  </w:p>
  <w:p w14:paraId="3CF48589" w14:textId="77777777" w:rsidR="009D08A1" w:rsidRDefault="009D08A1">
    <w:pPr>
      <w:pStyle w:val="Footer"/>
    </w:pPr>
  </w:p>
  <w:p w14:paraId="0BB3A670" w14:textId="77777777" w:rsidR="009D08A1" w:rsidRDefault="009D08A1">
    <w:pPr>
      <w:pStyle w:val="Footer"/>
    </w:pPr>
  </w:p>
  <w:p w14:paraId="0604C167" w14:textId="77777777" w:rsidR="009D08A1" w:rsidRDefault="009D08A1">
    <w:pPr>
      <w:pStyle w:val="Footer"/>
    </w:pPr>
  </w:p>
  <w:p w14:paraId="7F7C2E0F" w14:textId="77777777" w:rsidR="00B13A4A" w:rsidRDefault="00B13A4A">
    <w:pPr>
      <w:pStyle w:val="Footer"/>
    </w:pPr>
  </w:p>
  <w:p w14:paraId="59FFE4A4" w14:textId="77777777" w:rsidR="00B13A4A" w:rsidRDefault="00B13A4A">
    <w:pPr>
      <w:pStyle w:val="Footer"/>
    </w:pPr>
  </w:p>
  <w:p w14:paraId="48F356B2" w14:textId="77777777" w:rsidR="00B13A4A" w:rsidRDefault="00B13A4A">
    <w:pPr>
      <w:pStyle w:val="Footer"/>
    </w:pPr>
  </w:p>
  <w:p w14:paraId="3A51D2D1" w14:textId="77777777" w:rsidR="00B13A4A" w:rsidRDefault="00B13A4A">
    <w:pPr>
      <w:pStyle w:val="Footer"/>
    </w:pPr>
  </w:p>
  <w:p w14:paraId="701161D5" w14:textId="77777777" w:rsidR="00B13A4A" w:rsidRDefault="00B13A4A">
    <w:pPr>
      <w:pStyle w:val="Footer"/>
    </w:pPr>
  </w:p>
  <w:p w14:paraId="65E31446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45D2" w14:textId="77777777" w:rsidR="00015311" w:rsidRDefault="00015311" w:rsidP="00AD65CD">
      <w:r>
        <w:separator/>
      </w:r>
    </w:p>
  </w:footnote>
  <w:footnote w:type="continuationSeparator" w:id="0">
    <w:p w14:paraId="73EB5112" w14:textId="77777777" w:rsidR="00015311" w:rsidRDefault="00015311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20A4" w14:textId="77777777" w:rsidR="00245355" w:rsidRDefault="00245355">
    <w:pPr>
      <w:pStyle w:val="Header"/>
    </w:pPr>
  </w:p>
  <w:p w14:paraId="6C3D04F3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D0CF" w14:textId="77777777" w:rsidR="00335493" w:rsidRDefault="00335493" w:rsidP="00776F8B">
    <w:pPr>
      <w:pStyle w:val="Header"/>
      <w:jc w:val="center"/>
    </w:pPr>
  </w:p>
  <w:p w14:paraId="71FC699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A23"/>
    <w:multiLevelType w:val="hybridMultilevel"/>
    <w:tmpl w:val="9184D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94D74"/>
    <w:multiLevelType w:val="hybridMultilevel"/>
    <w:tmpl w:val="7A94E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52B21"/>
    <w:multiLevelType w:val="hybridMultilevel"/>
    <w:tmpl w:val="425AFCF4"/>
    <w:lvl w:ilvl="0" w:tplc="5F4C5A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0FE5"/>
    <w:multiLevelType w:val="hybridMultilevel"/>
    <w:tmpl w:val="3E5C9C5C"/>
    <w:lvl w:ilvl="0" w:tplc="E460D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482">
    <w:abstractNumId w:val="1"/>
  </w:num>
  <w:num w:numId="2" w16cid:durableId="1936279704">
    <w:abstractNumId w:val="4"/>
  </w:num>
  <w:num w:numId="3" w16cid:durableId="1083723914">
    <w:abstractNumId w:val="0"/>
  </w:num>
  <w:num w:numId="4" w16cid:durableId="632488344">
    <w:abstractNumId w:val="9"/>
  </w:num>
  <w:num w:numId="5" w16cid:durableId="504126493">
    <w:abstractNumId w:val="3"/>
  </w:num>
  <w:num w:numId="6" w16cid:durableId="1492479406">
    <w:abstractNumId w:val="2"/>
  </w:num>
  <w:num w:numId="7" w16cid:durableId="1120612959">
    <w:abstractNumId w:val="7"/>
  </w:num>
  <w:num w:numId="8" w16cid:durableId="1386175812">
    <w:abstractNumId w:val="6"/>
  </w:num>
  <w:num w:numId="9" w16cid:durableId="1630547752">
    <w:abstractNumId w:val="5"/>
  </w:num>
  <w:num w:numId="10" w16cid:durableId="926500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2ADF"/>
    <w:rsid w:val="00015311"/>
    <w:rsid w:val="0002597F"/>
    <w:rsid w:val="000259BD"/>
    <w:rsid w:val="000326EC"/>
    <w:rsid w:val="00033418"/>
    <w:rsid w:val="000347FE"/>
    <w:rsid w:val="00043C62"/>
    <w:rsid w:val="00047324"/>
    <w:rsid w:val="00050078"/>
    <w:rsid w:val="000631C8"/>
    <w:rsid w:val="00065F84"/>
    <w:rsid w:val="00076609"/>
    <w:rsid w:val="00077960"/>
    <w:rsid w:val="00085072"/>
    <w:rsid w:val="00087161"/>
    <w:rsid w:val="00091A99"/>
    <w:rsid w:val="00094CDD"/>
    <w:rsid w:val="00096FEC"/>
    <w:rsid w:val="000A1719"/>
    <w:rsid w:val="000A599C"/>
    <w:rsid w:val="000A63D3"/>
    <w:rsid w:val="000B0A9D"/>
    <w:rsid w:val="000B351E"/>
    <w:rsid w:val="000C2487"/>
    <w:rsid w:val="000C4C6E"/>
    <w:rsid w:val="000D109D"/>
    <w:rsid w:val="000D4386"/>
    <w:rsid w:val="000D53EB"/>
    <w:rsid w:val="000D67CA"/>
    <w:rsid w:val="000D723A"/>
    <w:rsid w:val="000E07BF"/>
    <w:rsid w:val="000E49D2"/>
    <w:rsid w:val="000E769D"/>
    <w:rsid w:val="000F1635"/>
    <w:rsid w:val="000F51FA"/>
    <w:rsid w:val="00100F39"/>
    <w:rsid w:val="00101059"/>
    <w:rsid w:val="001105F9"/>
    <w:rsid w:val="00113D71"/>
    <w:rsid w:val="00114099"/>
    <w:rsid w:val="00114DA2"/>
    <w:rsid w:val="001166DD"/>
    <w:rsid w:val="001176B0"/>
    <w:rsid w:val="00120A62"/>
    <w:rsid w:val="00131DB5"/>
    <w:rsid w:val="00132680"/>
    <w:rsid w:val="001343B5"/>
    <w:rsid w:val="0013462D"/>
    <w:rsid w:val="0013496D"/>
    <w:rsid w:val="00134FEF"/>
    <w:rsid w:val="00140387"/>
    <w:rsid w:val="00141BAE"/>
    <w:rsid w:val="00141D94"/>
    <w:rsid w:val="00144E20"/>
    <w:rsid w:val="00145966"/>
    <w:rsid w:val="00146841"/>
    <w:rsid w:val="00154321"/>
    <w:rsid w:val="001556F9"/>
    <w:rsid w:val="0015708C"/>
    <w:rsid w:val="001579E4"/>
    <w:rsid w:val="00160A35"/>
    <w:rsid w:val="00167E38"/>
    <w:rsid w:val="00170D13"/>
    <w:rsid w:val="00176F5F"/>
    <w:rsid w:val="00194710"/>
    <w:rsid w:val="001979C1"/>
    <w:rsid w:val="001A5044"/>
    <w:rsid w:val="001B2D60"/>
    <w:rsid w:val="001B4A56"/>
    <w:rsid w:val="001C4416"/>
    <w:rsid w:val="001C717D"/>
    <w:rsid w:val="001D6BDB"/>
    <w:rsid w:val="001E1C15"/>
    <w:rsid w:val="001F07CA"/>
    <w:rsid w:val="001F5747"/>
    <w:rsid w:val="001F5CFC"/>
    <w:rsid w:val="001F785B"/>
    <w:rsid w:val="00200ACC"/>
    <w:rsid w:val="00202A34"/>
    <w:rsid w:val="002031C2"/>
    <w:rsid w:val="00206BD8"/>
    <w:rsid w:val="00211D15"/>
    <w:rsid w:val="00213E7C"/>
    <w:rsid w:val="00221F47"/>
    <w:rsid w:val="00222ECE"/>
    <w:rsid w:val="002241E6"/>
    <w:rsid w:val="00224AA9"/>
    <w:rsid w:val="002270C4"/>
    <w:rsid w:val="00227E58"/>
    <w:rsid w:val="002417E4"/>
    <w:rsid w:val="00243D68"/>
    <w:rsid w:val="00243F2D"/>
    <w:rsid w:val="00244290"/>
    <w:rsid w:val="00245342"/>
    <w:rsid w:val="00245355"/>
    <w:rsid w:val="00252566"/>
    <w:rsid w:val="00256601"/>
    <w:rsid w:val="00260B53"/>
    <w:rsid w:val="002614CE"/>
    <w:rsid w:val="00261AA8"/>
    <w:rsid w:val="00265F0F"/>
    <w:rsid w:val="002667B3"/>
    <w:rsid w:val="00267D82"/>
    <w:rsid w:val="00271DFC"/>
    <w:rsid w:val="00272370"/>
    <w:rsid w:val="0027246A"/>
    <w:rsid w:val="0028617F"/>
    <w:rsid w:val="00291D7F"/>
    <w:rsid w:val="00295DC2"/>
    <w:rsid w:val="002A52C3"/>
    <w:rsid w:val="002A6BF5"/>
    <w:rsid w:val="002B12DB"/>
    <w:rsid w:val="002B2189"/>
    <w:rsid w:val="002B267D"/>
    <w:rsid w:val="002B365C"/>
    <w:rsid w:val="002B478A"/>
    <w:rsid w:val="002B5AFE"/>
    <w:rsid w:val="002B7C51"/>
    <w:rsid w:val="002C071E"/>
    <w:rsid w:val="002C2044"/>
    <w:rsid w:val="002C7F9D"/>
    <w:rsid w:val="002D2FAB"/>
    <w:rsid w:val="002D44D4"/>
    <w:rsid w:val="002D4623"/>
    <w:rsid w:val="002D6BB1"/>
    <w:rsid w:val="002D7AA0"/>
    <w:rsid w:val="002E3479"/>
    <w:rsid w:val="002E759D"/>
    <w:rsid w:val="002E7EC8"/>
    <w:rsid w:val="002F1C95"/>
    <w:rsid w:val="002F22C2"/>
    <w:rsid w:val="002F2A53"/>
    <w:rsid w:val="002F3A64"/>
    <w:rsid w:val="002F5D09"/>
    <w:rsid w:val="0030356A"/>
    <w:rsid w:val="0031065C"/>
    <w:rsid w:val="0032112B"/>
    <w:rsid w:val="003236C7"/>
    <w:rsid w:val="0032423F"/>
    <w:rsid w:val="003249C7"/>
    <w:rsid w:val="00326388"/>
    <w:rsid w:val="00331F83"/>
    <w:rsid w:val="00335438"/>
    <w:rsid w:val="00335493"/>
    <w:rsid w:val="00335D6D"/>
    <w:rsid w:val="003360CE"/>
    <w:rsid w:val="00337BFF"/>
    <w:rsid w:val="00337E73"/>
    <w:rsid w:val="00343FD2"/>
    <w:rsid w:val="00345269"/>
    <w:rsid w:val="003453D1"/>
    <w:rsid w:val="00345AE4"/>
    <w:rsid w:val="00351BAE"/>
    <w:rsid w:val="00351EB6"/>
    <w:rsid w:val="00355397"/>
    <w:rsid w:val="00355CFF"/>
    <w:rsid w:val="0035654E"/>
    <w:rsid w:val="0036043C"/>
    <w:rsid w:val="00362C20"/>
    <w:rsid w:val="00362FA3"/>
    <w:rsid w:val="003677D6"/>
    <w:rsid w:val="003716CA"/>
    <w:rsid w:val="00381D4B"/>
    <w:rsid w:val="00383F83"/>
    <w:rsid w:val="00384061"/>
    <w:rsid w:val="003867F8"/>
    <w:rsid w:val="00397B01"/>
    <w:rsid w:val="00397BBD"/>
    <w:rsid w:val="003A0E64"/>
    <w:rsid w:val="003A223C"/>
    <w:rsid w:val="003A3979"/>
    <w:rsid w:val="003A77C2"/>
    <w:rsid w:val="003B0D32"/>
    <w:rsid w:val="003B4F6D"/>
    <w:rsid w:val="003B519E"/>
    <w:rsid w:val="003B59EF"/>
    <w:rsid w:val="003B5E49"/>
    <w:rsid w:val="003C0823"/>
    <w:rsid w:val="003C2E0C"/>
    <w:rsid w:val="003C2FCC"/>
    <w:rsid w:val="003C4A43"/>
    <w:rsid w:val="003C55B6"/>
    <w:rsid w:val="003C6BC8"/>
    <w:rsid w:val="003D01A6"/>
    <w:rsid w:val="003D1AE8"/>
    <w:rsid w:val="003D4FFA"/>
    <w:rsid w:val="003D7EFF"/>
    <w:rsid w:val="003E0AF3"/>
    <w:rsid w:val="003E4147"/>
    <w:rsid w:val="003E5BCC"/>
    <w:rsid w:val="003E5CC5"/>
    <w:rsid w:val="003E6642"/>
    <w:rsid w:val="003F1EE1"/>
    <w:rsid w:val="003F22B7"/>
    <w:rsid w:val="00403C23"/>
    <w:rsid w:val="00405574"/>
    <w:rsid w:val="00407C4D"/>
    <w:rsid w:val="004145B0"/>
    <w:rsid w:val="004150CC"/>
    <w:rsid w:val="00422A0E"/>
    <w:rsid w:val="00424577"/>
    <w:rsid w:val="00426021"/>
    <w:rsid w:val="004263D1"/>
    <w:rsid w:val="00432C15"/>
    <w:rsid w:val="004337E5"/>
    <w:rsid w:val="00433C3C"/>
    <w:rsid w:val="00435274"/>
    <w:rsid w:val="00437581"/>
    <w:rsid w:val="004436F9"/>
    <w:rsid w:val="00446FBB"/>
    <w:rsid w:val="00450902"/>
    <w:rsid w:val="00452F30"/>
    <w:rsid w:val="004536A1"/>
    <w:rsid w:val="00455AE5"/>
    <w:rsid w:val="00455F0F"/>
    <w:rsid w:val="00462250"/>
    <w:rsid w:val="0046320C"/>
    <w:rsid w:val="004643A4"/>
    <w:rsid w:val="0047113B"/>
    <w:rsid w:val="00472693"/>
    <w:rsid w:val="004731FB"/>
    <w:rsid w:val="004752F0"/>
    <w:rsid w:val="0047708F"/>
    <w:rsid w:val="00477E34"/>
    <w:rsid w:val="0048596C"/>
    <w:rsid w:val="004902AE"/>
    <w:rsid w:val="0049053F"/>
    <w:rsid w:val="00495511"/>
    <w:rsid w:val="0049581F"/>
    <w:rsid w:val="004B0834"/>
    <w:rsid w:val="004B1B8C"/>
    <w:rsid w:val="004B1BDB"/>
    <w:rsid w:val="004B501A"/>
    <w:rsid w:val="004B7D99"/>
    <w:rsid w:val="004C6665"/>
    <w:rsid w:val="004E7CC4"/>
    <w:rsid w:val="004E7CFB"/>
    <w:rsid w:val="004F3EC6"/>
    <w:rsid w:val="004F637B"/>
    <w:rsid w:val="00500D35"/>
    <w:rsid w:val="005029C5"/>
    <w:rsid w:val="00502BC9"/>
    <w:rsid w:val="00505B8A"/>
    <w:rsid w:val="00507F0F"/>
    <w:rsid w:val="00510DFB"/>
    <w:rsid w:val="00510EF8"/>
    <w:rsid w:val="00516DD1"/>
    <w:rsid w:val="0052201E"/>
    <w:rsid w:val="005323C7"/>
    <w:rsid w:val="005339F9"/>
    <w:rsid w:val="00535D04"/>
    <w:rsid w:val="0053662C"/>
    <w:rsid w:val="005470B1"/>
    <w:rsid w:val="00563F11"/>
    <w:rsid w:val="00564865"/>
    <w:rsid w:val="00574426"/>
    <w:rsid w:val="00577C6D"/>
    <w:rsid w:val="005835CD"/>
    <w:rsid w:val="00585B72"/>
    <w:rsid w:val="00586C25"/>
    <w:rsid w:val="0058745F"/>
    <w:rsid w:val="005A3167"/>
    <w:rsid w:val="005A5DF8"/>
    <w:rsid w:val="005A6F8B"/>
    <w:rsid w:val="005B2CEA"/>
    <w:rsid w:val="005B6D8E"/>
    <w:rsid w:val="005D49BD"/>
    <w:rsid w:val="005E6677"/>
    <w:rsid w:val="005F5443"/>
    <w:rsid w:val="005F6101"/>
    <w:rsid w:val="00600056"/>
    <w:rsid w:val="006002DC"/>
    <w:rsid w:val="00600BB3"/>
    <w:rsid w:val="0061438B"/>
    <w:rsid w:val="00615484"/>
    <w:rsid w:val="00615636"/>
    <w:rsid w:val="00617133"/>
    <w:rsid w:val="00620FF8"/>
    <w:rsid w:val="00621673"/>
    <w:rsid w:val="006247C0"/>
    <w:rsid w:val="006308CE"/>
    <w:rsid w:val="00632A0E"/>
    <w:rsid w:val="006332ED"/>
    <w:rsid w:val="00633376"/>
    <w:rsid w:val="0063439F"/>
    <w:rsid w:val="006351C9"/>
    <w:rsid w:val="00637A4E"/>
    <w:rsid w:val="006401CB"/>
    <w:rsid w:val="00644CB8"/>
    <w:rsid w:val="00650FC0"/>
    <w:rsid w:val="006544B0"/>
    <w:rsid w:val="0066649E"/>
    <w:rsid w:val="00667402"/>
    <w:rsid w:val="00667A71"/>
    <w:rsid w:val="00671315"/>
    <w:rsid w:val="0068201B"/>
    <w:rsid w:val="00687A1F"/>
    <w:rsid w:val="00690422"/>
    <w:rsid w:val="006922F9"/>
    <w:rsid w:val="00696714"/>
    <w:rsid w:val="006A1411"/>
    <w:rsid w:val="006A3D17"/>
    <w:rsid w:val="006A4262"/>
    <w:rsid w:val="006A724C"/>
    <w:rsid w:val="006B3796"/>
    <w:rsid w:val="006B553E"/>
    <w:rsid w:val="006B6231"/>
    <w:rsid w:val="006C08F0"/>
    <w:rsid w:val="006C69DB"/>
    <w:rsid w:val="006C7AA4"/>
    <w:rsid w:val="006D3A44"/>
    <w:rsid w:val="006D3BE5"/>
    <w:rsid w:val="006D69DF"/>
    <w:rsid w:val="006E1992"/>
    <w:rsid w:val="006E2F6E"/>
    <w:rsid w:val="006E3B64"/>
    <w:rsid w:val="006F1309"/>
    <w:rsid w:val="006F1692"/>
    <w:rsid w:val="006F2405"/>
    <w:rsid w:val="006F5112"/>
    <w:rsid w:val="006F7D15"/>
    <w:rsid w:val="00704775"/>
    <w:rsid w:val="00711FC4"/>
    <w:rsid w:val="0071483F"/>
    <w:rsid w:val="00714B01"/>
    <w:rsid w:val="00715798"/>
    <w:rsid w:val="0071596D"/>
    <w:rsid w:val="007212D0"/>
    <w:rsid w:val="007232BD"/>
    <w:rsid w:val="00740388"/>
    <w:rsid w:val="00741715"/>
    <w:rsid w:val="00744F5E"/>
    <w:rsid w:val="00745C31"/>
    <w:rsid w:val="0074614D"/>
    <w:rsid w:val="00746F7C"/>
    <w:rsid w:val="00750158"/>
    <w:rsid w:val="007569B0"/>
    <w:rsid w:val="0076004D"/>
    <w:rsid w:val="0076447A"/>
    <w:rsid w:val="00770CFA"/>
    <w:rsid w:val="00774613"/>
    <w:rsid w:val="00776F8B"/>
    <w:rsid w:val="007771ED"/>
    <w:rsid w:val="00777FC7"/>
    <w:rsid w:val="007810D0"/>
    <w:rsid w:val="00793AC8"/>
    <w:rsid w:val="00793E49"/>
    <w:rsid w:val="00794558"/>
    <w:rsid w:val="00797F8C"/>
    <w:rsid w:val="007A38FB"/>
    <w:rsid w:val="007A56D4"/>
    <w:rsid w:val="007B1BC6"/>
    <w:rsid w:val="007B1E41"/>
    <w:rsid w:val="007B2A71"/>
    <w:rsid w:val="007B4522"/>
    <w:rsid w:val="007C037D"/>
    <w:rsid w:val="007C1CF5"/>
    <w:rsid w:val="007C2362"/>
    <w:rsid w:val="007C40D4"/>
    <w:rsid w:val="007C4B48"/>
    <w:rsid w:val="007D24B2"/>
    <w:rsid w:val="007D2BFE"/>
    <w:rsid w:val="007D2F93"/>
    <w:rsid w:val="007D4401"/>
    <w:rsid w:val="007E16A5"/>
    <w:rsid w:val="007E1F43"/>
    <w:rsid w:val="007E37FA"/>
    <w:rsid w:val="007E4126"/>
    <w:rsid w:val="007E4BDA"/>
    <w:rsid w:val="007E5C9F"/>
    <w:rsid w:val="007E5E94"/>
    <w:rsid w:val="007E6E54"/>
    <w:rsid w:val="007E6E59"/>
    <w:rsid w:val="007E7CFC"/>
    <w:rsid w:val="007F0E65"/>
    <w:rsid w:val="007F5A88"/>
    <w:rsid w:val="007F5B96"/>
    <w:rsid w:val="007F63E7"/>
    <w:rsid w:val="00800FA2"/>
    <w:rsid w:val="00806DAB"/>
    <w:rsid w:val="0080719C"/>
    <w:rsid w:val="00816855"/>
    <w:rsid w:val="00817087"/>
    <w:rsid w:val="00821FE5"/>
    <w:rsid w:val="00822786"/>
    <w:rsid w:val="00823BF9"/>
    <w:rsid w:val="00824171"/>
    <w:rsid w:val="00827A7D"/>
    <w:rsid w:val="00830047"/>
    <w:rsid w:val="0083234B"/>
    <w:rsid w:val="00832F0D"/>
    <w:rsid w:val="0083405F"/>
    <w:rsid w:val="00835E46"/>
    <w:rsid w:val="00840375"/>
    <w:rsid w:val="008405BD"/>
    <w:rsid w:val="00847046"/>
    <w:rsid w:val="008472AA"/>
    <w:rsid w:val="00850FB8"/>
    <w:rsid w:val="008549A0"/>
    <w:rsid w:val="00861BBB"/>
    <w:rsid w:val="0087159E"/>
    <w:rsid w:val="0087312C"/>
    <w:rsid w:val="008836CE"/>
    <w:rsid w:val="00883702"/>
    <w:rsid w:val="008857C8"/>
    <w:rsid w:val="00887F58"/>
    <w:rsid w:val="00894ACC"/>
    <w:rsid w:val="008A05A4"/>
    <w:rsid w:val="008A0C4B"/>
    <w:rsid w:val="008A325B"/>
    <w:rsid w:val="008A3973"/>
    <w:rsid w:val="008A5769"/>
    <w:rsid w:val="008A7717"/>
    <w:rsid w:val="008C112C"/>
    <w:rsid w:val="008C20D0"/>
    <w:rsid w:val="008C42BA"/>
    <w:rsid w:val="008D10A9"/>
    <w:rsid w:val="008D2216"/>
    <w:rsid w:val="008E029F"/>
    <w:rsid w:val="008E7DDF"/>
    <w:rsid w:val="008F5FCE"/>
    <w:rsid w:val="008F606F"/>
    <w:rsid w:val="00904607"/>
    <w:rsid w:val="009054A3"/>
    <w:rsid w:val="00905EB5"/>
    <w:rsid w:val="00910A91"/>
    <w:rsid w:val="009125C8"/>
    <w:rsid w:val="0091300D"/>
    <w:rsid w:val="00916900"/>
    <w:rsid w:val="00917FA1"/>
    <w:rsid w:val="00926835"/>
    <w:rsid w:val="00926B94"/>
    <w:rsid w:val="009313CC"/>
    <w:rsid w:val="00934D8A"/>
    <w:rsid w:val="009375A8"/>
    <w:rsid w:val="00942DBD"/>
    <w:rsid w:val="009433EC"/>
    <w:rsid w:val="00943C1D"/>
    <w:rsid w:val="00946A20"/>
    <w:rsid w:val="00946FF7"/>
    <w:rsid w:val="009475C7"/>
    <w:rsid w:val="009520E8"/>
    <w:rsid w:val="009551C1"/>
    <w:rsid w:val="00955641"/>
    <w:rsid w:val="009617DA"/>
    <w:rsid w:val="00962CEB"/>
    <w:rsid w:val="0096386D"/>
    <w:rsid w:val="00972606"/>
    <w:rsid w:val="009770C2"/>
    <w:rsid w:val="00981C61"/>
    <w:rsid w:val="0098220E"/>
    <w:rsid w:val="009834BF"/>
    <w:rsid w:val="0098443F"/>
    <w:rsid w:val="00990FBD"/>
    <w:rsid w:val="00996A18"/>
    <w:rsid w:val="009A038F"/>
    <w:rsid w:val="009A25BB"/>
    <w:rsid w:val="009A2E14"/>
    <w:rsid w:val="009A45A8"/>
    <w:rsid w:val="009B053A"/>
    <w:rsid w:val="009B3EB2"/>
    <w:rsid w:val="009B6734"/>
    <w:rsid w:val="009C146E"/>
    <w:rsid w:val="009D00F4"/>
    <w:rsid w:val="009D08A1"/>
    <w:rsid w:val="009D3B27"/>
    <w:rsid w:val="009D439D"/>
    <w:rsid w:val="009D4C2B"/>
    <w:rsid w:val="009D516D"/>
    <w:rsid w:val="009D662C"/>
    <w:rsid w:val="009E0AA7"/>
    <w:rsid w:val="009E1788"/>
    <w:rsid w:val="009E28F1"/>
    <w:rsid w:val="009E3DEC"/>
    <w:rsid w:val="009E55F8"/>
    <w:rsid w:val="009F2DFA"/>
    <w:rsid w:val="009F336D"/>
    <w:rsid w:val="009F41D8"/>
    <w:rsid w:val="009F6828"/>
    <w:rsid w:val="009F7390"/>
    <w:rsid w:val="00A02EB0"/>
    <w:rsid w:val="00A05C56"/>
    <w:rsid w:val="00A069DD"/>
    <w:rsid w:val="00A06A38"/>
    <w:rsid w:val="00A07406"/>
    <w:rsid w:val="00A12444"/>
    <w:rsid w:val="00A135B4"/>
    <w:rsid w:val="00A15A15"/>
    <w:rsid w:val="00A170B7"/>
    <w:rsid w:val="00A17A7E"/>
    <w:rsid w:val="00A20CC9"/>
    <w:rsid w:val="00A21AE9"/>
    <w:rsid w:val="00A220CB"/>
    <w:rsid w:val="00A23538"/>
    <w:rsid w:val="00A2498B"/>
    <w:rsid w:val="00A26DBE"/>
    <w:rsid w:val="00A27FCE"/>
    <w:rsid w:val="00A34EBE"/>
    <w:rsid w:val="00A41FF7"/>
    <w:rsid w:val="00A4315B"/>
    <w:rsid w:val="00A46374"/>
    <w:rsid w:val="00A51DEA"/>
    <w:rsid w:val="00A53390"/>
    <w:rsid w:val="00A54B12"/>
    <w:rsid w:val="00A54BA4"/>
    <w:rsid w:val="00A56532"/>
    <w:rsid w:val="00A57211"/>
    <w:rsid w:val="00A66862"/>
    <w:rsid w:val="00A701DD"/>
    <w:rsid w:val="00A723DA"/>
    <w:rsid w:val="00A7289C"/>
    <w:rsid w:val="00A74EEF"/>
    <w:rsid w:val="00A75E47"/>
    <w:rsid w:val="00A77C06"/>
    <w:rsid w:val="00A77FC7"/>
    <w:rsid w:val="00A811E4"/>
    <w:rsid w:val="00A86B43"/>
    <w:rsid w:val="00A8711C"/>
    <w:rsid w:val="00AA51F1"/>
    <w:rsid w:val="00AA698F"/>
    <w:rsid w:val="00AA7732"/>
    <w:rsid w:val="00AA7A78"/>
    <w:rsid w:val="00AB3CEC"/>
    <w:rsid w:val="00AB5803"/>
    <w:rsid w:val="00AB5CDE"/>
    <w:rsid w:val="00AC128B"/>
    <w:rsid w:val="00AC21C3"/>
    <w:rsid w:val="00AD24BB"/>
    <w:rsid w:val="00AD65CD"/>
    <w:rsid w:val="00AE1EB8"/>
    <w:rsid w:val="00AF14E8"/>
    <w:rsid w:val="00AF4F2C"/>
    <w:rsid w:val="00B03BC5"/>
    <w:rsid w:val="00B03F33"/>
    <w:rsid w:val="00B04B64"/>
    <w:rsid w:val="00B06974"/>
    <w:rsid w:val="00B06DCE"/>
    <w:rsid w:val="00B116F2"/>
    <w:rsid w:val="00B13A4A"/>
    <w:rsid w:val="00B144A9"/>
    <w:rsid w:val="00B22375"/>
    <w:rsid w:val="00B3237C"/>
    <w:rsid w:val="00B32E77"/>
    <w:rsid w:val="00B34554"/>
    <w:rsid w:val="00B35092"/>
    <w:rsid w:val="00B366DC"/>
    <w:rsid w:val="00B42E8C"/>
    <w:rsid w:val="00B4354E"/>
    <w:rsid w:val="00B453CC"/>
    <w:rsid w:val="00B55D27"/>
    <w:rsid w:val="00B564FA"/>
    <w:rsid w:val="00B56C18"/>
    <w:rsid w:val="00B60E6C"/>
    <w:rsid w:val="00B62AD6"/>
    <w:rsid w:val="00B638DF"/>
    <w:rsid w:val="00B67DF6"/>
    <w:rsid w:val="00B766F6"/>
    <w:rsid w:val="00B800F5"/>
    <w:rsid w:val="00B82B27"/>
    <w:rsid w:val="00B83DA7"/>
    <w:rsid w:val="00B871A9"/>
    <w:rsid w:val="00B93AF5"/>
    <w:rsid w:val="00B965D5"/>
    <w:rsid w:val="00B967AE"/>
    <w:rsid w:val="00BA6F9A"/>
    <w:rsid w:val="00BA71C9"/>
    <w:rsid w:val="00BA781A"/>
    <w:rsid w:val="00BA7AC8"/>
    <w:rsid w:val="00BC00F1"/>
    <w:rsid w:val="00BC07F2"/>
    <w:rsid w:val="00BC53A1"/>
    <w:rsid w:val="00BC64D3"/>
    <w:rsid w:val="00BC77E4"/>
    <w:rsid w:val="00BD15A7"/>
    <w:rsid w:val="00BD2844"/>
    <w:rsid w:val="00BD3CA4"/>
    <w:rsid w:val="00BE31F6"/>
    <w:rsid w:val="00BE6DFA"/>
    <w:rsid w:val="00BF0B73"/>
    <w:rsid w:val="00BF1C37"/>
    <w:rsid w:val="00BF4654"/>
    <w:rsid w:val="00BF4CA4"/>
    <w:rsid w:val="00BF63CA"/>
    <w:rsid w:val="00C007BF"/>
    <w:rsid w:val="00C0125C"/>
    <w:rsid w:val="00C10274"/>
    <w:rsid w:val="00C10FF9"/>
    <w:rsid w:val="00C11723"/>
    <w:rsid w:val="00C130B7"/>
    <w:rsid w:val="00C1643A"/>
    <w:rsid w:val="00C16C56"/>
    <w:rsid w:val="00C16D30"/>
    <w:rsid w:val="00C17083"/>
    <w:rsid w:val="00C2211C"/>
    <w:rsid w:val="00C24D13"/>
    <w:rsid w:val="00C2568C"/>
    <w:rsid w:val="00C26310"/>
    <w:rsid w:val="00C332DC"/>
    <w:rsid w:val="00C33628"/>
    <w:rsid w:val="00C3519A"/>
    <w:rsid w:val="00C35357"/>
    <w:rsid w:val="00C36E8B"/>
    <w:rsid w:val="00C4110C"/>
    <w:rsid w:val="00C44BF6"/>
    <w:rsid w:val="00C44F72"/>
    <w:rsid w:val="00C52B4B"/>
    <w:rsid w:val="00C534CF"/>
    <w:rsid w:val="00C55B9A"/>
    <w:rsid w:val="00C57199"/>
    <w:rsid w:val="00C61738"/>
    <w:rsid w:val="00C63FA2"/>
    <w:rsid w:val="00C6689C"/>
    <w:rsid w:val="00C66955"/>
    <w:rsid w:val="00C712DD"/>
    <w:rsid w:val="00C733C9"/>
    <w:rsid w:val="00C808A2"/>
    <w:rsid w:val="00C81F40"/>
    <w:rsid w:val="00C81FB5"/>
    <w:rsid w:val="00C848FC"/>
    <w:rsid w:val="00C853CA"/>
    <w:rsid w:val="00C86D35"/>
    <w:rsid w:val="00C924AC"/>
    <w:rsid w:val="00C964F5"/>
    <w:rsid w:val="00C97373"/>
    <w:rsid w:val="00CA7954"/>
    <w:rsid w:val="00CA7B8B"/>
    <w:rsid w:val="00CA7CF3"/>
    <w:rsid w:val="00CB02EA"/>
    <w:rsid w:val="00CB095F"/>
    <w:rsid w:val="00CB22C9"/>
    <w:rsid w:val="00CB3CD1"/>
    <w:rsid w:val="00CB774F"/>
    <w:rsid w:val="00CC4189"/>
    <w:rsid w:val="00CC41CD"/>
    <w:rsid w:val="00CD0740"/>
    <w:rsid w:val="00CE4C52"/>
    <w:rsid w:val="00CF1B69"/>
    <w:rsid w:val="00CF67CD"/>
    <w:rsid w:val="00D02873"/>
    <w:rsid w:val="00D0288A"/>
    <w:rsid w:val="00D04235"/>
    <w:rsid w:val="00D052E3"/>
    <w:rsid w:val="00D12E22"/>
    <w:rsid w:val="00D14B2B"/>
    <w:rsid w:val="00D15261"/>
    <w:rsid w:val="00D20BA7"/>
    <w:rsid w:val="00D222D3"/>
    <w:rsid w:val="00D22E0E"/>
    <w:rsid w:val="00D248C8"/>
    <w:rsid w:val="00D251A7"/>
    <w:rsid w:val="00D25ABB"/>
    <w:rsid w:val="00D264AE"/>
    <w:rsid w:val="00D313F4"/>
    <w:rsid w:val="00D35C92"/>
    <w:rsid w:val="00D4455D"/>
    <w:rsid w:val="00D446A8"/>
    <w:rsid w:val="00D5278B"/>
    <w:rsid w:val="00D52945"/>
    <w:rsid w:val="00D56070"/>
    <w:rsid w:val="00D56186"/>
    <w:rsid w:val="00D57BA9"/>
    <w:rsid w:val="00D604DC"/>
    <w:rsid w:val="00D638D8"/>
    <w:rsid w:val="00D649D7"/>
    <w:rsid w:val="00D82B88"/>
    <w:rsid w:val="00D853BA"/>
    <w:rsid w:val="00D85816"/>
    <w:rsid w:val="00D94526"/>
    <w:rsid w:val="00D9482B"/>
    <w:rsid w:val="00D956D4"/>
    <w:rsid w:val="00DA2DE4"/>
    <w:rsid w:val="00DA4939"/>
    <w:rsid w:val="00DA5457"/>
    <w:rsid w:val="00DA56C0"/>
    <w:rsid w:val="00DB2A96"/>
    <w:rsid w:val="00DB2FE5"/>
    <w:rsid w:val="00DB426C"/>
    <w:rsid w:val="00DB4DBD"/>
    <w:rsid w:val="00DB5ECA"/>
    <w:rsid w:val="00DD5F29"/>
    <w:rsid w:val="00DD7870"/>
    <w:rsid w:val="00DE5A16"/>
    <w:rsid w:val="00DF1497"/>
    <w:rsid w:val="00DF20CE"/>
    <w:rsid w:val="00DF2629"/>
    <w:rsid w:val="00E0216C"/>
    <w:rsid w:val="00E021AE"/>
    <w:rsid w:val="00E0533A"/>
    <w:rsid w:val="00E1727A"/>
    <w:rsid w:val="00E22FA7"/>
    <w:rsid w:val="00E234E3"/>
    <w:rsid w:val="00E23CBC"/>
    <w:rsid w:val="00E34887"/>
    <w:rsid w:val="00E357AE"/>
    <w:rsid w:val="00E35ED9"/>
    <w:rsid w:val="00E37D55"/>
    <w:rsid w:val="00E40EF0"/>
    <w:rsid w:val="00E42F17"/>
    <w:rsid w:val="00E45571"/>
    <w:rsid w:val="00E50BFE"/>
    <w:rsid w:val="00E53D17"/>
    <w:rsid w:val="00E54FD8"/>
    <w:rsid w:val="00E550B5"/>
    <w:rsid w:val="00E57A85"/>
    <w:rsid w:val="00E61F4A"/>
    <w:rsid w:val="00E6413C"/>
    <w:rsid w:val="00E64F83"/>
    <w:rsid w:val="00E7312C"/>
    <w:rsid w:val="00E73DC4"/>
    <w:rsid w:val="00E73DF8"/>
    <w:rsid w:val="00E74D77"/>
    <w:rsid w:val="00E765EA"/>
    <w:rsid w:val="00E80C33"/>
    <w:rsid w:val="00E81B0E"/>
    <w:rsid w:val="00E829BE"/>
    <w:rsid w:val="00E943AA"/>
    <w:rsid w:val="00E975BE"/>
    <w:rsid w:val="00E97C3B"/>
    <w:rsid w:val="00EA1DD7"/>
    <w:rsid w:val="00EA492B"/>
    <w:rsid w:val="00EA4A62"/>
    <w:rsid w:val="00EA558E"/>
    <w:rsid w:val="00EB3B97"/>
    <w:rsid w:val="00EB63C2"/>
    <w:rsid w:val="00EC0F20"/>
    <w:rsid w:val="00EC5E61"/>
    <w:rsid w:val="00ED3417"/>
    <w:rsid w:val="00ED38C1"/>
    <w:rsid w:val="00ED6B69"/>
    <w:rsid w:val="00ED6C6D"/>
    <w:rsid w:val="00EE4781"/>
    <w:rsid w:val="00EE77FE"/>
    <w:rsid w:val="00EF52FD"/>
    <w:rsid w:val="00EF542D"/>
    <w:rsid w:val="00EF6812"/>
    <w:rsid w:val="00EF774F"/>
    <w:rsid w:val="00F015CB"/>
    <w:rsid w:val="00F01B04"/>
    <w:rsid w:val="00F01EAF"/>
    <w:rsid w:val="00F03AF2"/>
    <w:rsid w:val="00F10407"/>
    <w:rsid w:val="00F16D4F"/>
    <w:rsid w:val="00F253EB"/>
    <w:rsid w:val="00F25E64"/>
    <w:rsid w:val="00F26AC6"/>
    <w:rsid w:val="00F34C37"/>
    <w:rsid w:val="00F40123"/>
    <w:rsid w:val="00F40DCF"/>
    <w:rsid w:val="00F41B09"/>
    <w:rsid w:val="00F41B0E"/>
    <w:rsid w:val="00F523C7"/>
    <w:rsid w:val="00F5428C"/>
    <w:rsid w:val="00F5523B"/>
    <w:rsid w:val="00F55A7D"/>
    <w:rsid w:val="00F56BF0"/>
    <w:rsid w:val="00F57886"/>
    <w:rsid w:val="00F6070A"/>
    <w:rsid w:val="00F620C6"/>
    <w:rsid w:val="00F633FA"/>
    <w:rsid w:val="00F66695"/>
    <w:rsid w:val="00F67B1A"/>
    <w:rsid w:val="00F7255F"/>
    <w:rsid w:val="00F728BE"/>
    <w:rsid w:val="00F77257"/>
    <w:rsid w:val="00F77371"/>
    <w:rsid w:val="00F817A8"/>
    <w:rsid w:val="00F8180F"/>
    <w:rsid w:val="00F83379"/>
    <w:rsid w:val="00F91328"/>
    <w:rsid w:val="00F962D9"/>
    <w:rsid w:val="00F97586"/>
    <w:rsid w:val="00FA3428"/>
    <w:rsid w:val="00FA3934"/>
    <w:rsid w:val="00FB6686"/>
    <w:rsid w:val="00FC0FC2"/>
    <w:rsid w:val="00FD0EF8"/>
    <w:rsid w:val="00FD186C"/>
    <w:rsid w:val="00FD1936"/>
    <w:rsid w:val="00FD1EA2"/>
    <w:rsid w:val="00FD3173"/>
    <w:rsid w:val="00FD3C47"/>
    <w:rsid w:val="00FD5463"/>
    <w:rsid w:val="00FD6228"/>
    <w:rsid w:val="00FD73B3"/>
    <w:rsid w:val="00FD7D46"/>
    <w:rsid w:val="00FE1450"/>
    <w:rsid w:val="00FE5092"/>
    <w:rsid w:val="00FE5119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BEFA3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2</cp:revision>
  <cp:lastPrinted>2025-07-19T07:44:00Z</cp:lastPrinted>
  <dcterms:created xsi:type="dcterms:W3CDTF">2025-08-14T11:15:00Z</dcterms:created>
  <dcterms:modified xsi:type="dcterms:W3CDTF">2025-08-14T11:15:00Z</dcterms:modified>
</cp:coreProperties>
</file>