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5FA3" w14:textId="04263DB6" w:rsidR="00F2091A" w:rsidRPr="00F2091A" w:rsidRDefault="00F2091A" w:rsidP="00F2091A">
      <w:pPr>
        <w:jc w:val="center"/>
        <w:rPr>
          <w:noProof/>
          <w:sz w:val="22"/>
          <w:szCs w:val="22"/>
        </w:rPr>
      </w:pPr>
    </w:p>
    <w:p w14:paraId="6BB504AE" w14:textId="0EA8FAB7" w:rsidR="008A05A4" w:rsidRDefault="003E0F7B" w:rsidP="00B44050">
      <w:pPr>
        <w:jc w:val="center"/>
        <w:rPr>
          <w:sz w:val="22"/>
          <w:szCs w:val="22"/>
        </w:rPr>
      </w:pPr>
      <w:r>
        <w:rPr>
          <w:noProof/>
          <w:sz w:val="22"/>
          <w:szCs w:val="22"/>
        </w:rPr>
        <w:drawing>
          <wp:inline distT="0" distB="0" distL="0" distR="0" wp14:anchorId="374D99CE" wp14:editId="5A2E0011">
            <wp:extent cx="6378356" cy="1072515"/>
            <wp:effectExtent l="0" t="0" r="3810" b="0"/>
            <wp:docPr id="1554143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3107" cy="1100218"/>
                    </a:xfrm>
                    <a:prstGeom prst="rect">
                      <a:avLst/>
                    </a:prstGeom>
                    <a:noFill/>
                  </pic:spPr>
                </pic:pic>
              </a:graphicData>
            </a:graphic>
          </wp:inline>
        </w:drawing>
      </w:r>
    </w:p>
    <w:p w14:paraId="72BB2E6A" w14:textId="71B9B3C8" w:rsidR="00BF1B7C" w:rsidRDefault="008C590A" w:rsidP="003666DB">
      <w:pPr>
        <w:rPr>
          <w:b/>
          <w:bCs/>
          <w:sz w:val="20"/>
          <w:szCs w:val="20"/>
        </w:rPr>
      </w:pPr>
      <w:r w:rsidRPr="008C590A">
        <w:rPr>
          <w:b/>
          <w:bCs/>
          <w:sz w:val="20"/>
          <w:szCs w:val="20"/>
        </w:rPr>
        <w:t xml:space="preserve">January 2026 </w:t>
      </w:r>
    </w:p>
    <w:p w14:paraId="4CF1CA22" w14:textId="77777777" w:rsidR="00B202D6" w:rsidRDefault="00B202D6" w:rsidP="003666DB">
      <w:pPr>
        <w:rPr>
          <w:b/>
          <w:bCs/>
          <w:sz w:val="20"/>
          <w:szCs w:val="20"/>
        </w:rPr>
      </w:pPr>
    </w:p>
    <w:p w14:paraId="19F286D1" w14:textId="6C967601" w:rsidR="00C92054" w:rsidRDefault="00B202D6" w:rsidP="00C92054">
      <w:pPr>
        <w:rPr>
          <w:b/>
          <w:bCs/>
          <w:sz w:val="20"/>
          <w:szCs w:val="20"/>
        </w:rPr>
      </w:pPr>
      <w:r>
        <w:rPr>
          <w:b/>
          <w:bCs/>
          <w:sz w:val="20"/>
          <w:szCs w:val="20"/>
        </w:rPr>
        <w:t xml:space="preserve">ADB – B5 requirements </w:t>
      </w:r>
      <w:r w:rsidR="00C92054">
        <w:rPr>
          <w:b/>
          <w:bCs/>
          <w:sz w:val="20"/>
          <w:szCs w:val="20"/>
        </w:rPr>
        <w:t xml:space="preserve"> - </w:t>
      </w:r>
      <w:r w:rsidR="00C92054" w:rsidRPr="00C92054">
        <w:rPr>
          <w:b/>
          <w:bCs/>
          <w:sz w:val="20"/>
          <w:szCs w:val="20"/>
        </w:rPr>
        <w:t>Firefighters Support and appreciations of ADB B5</w:t>
      </w:r>
    </w:p>
    <w:p w14:paraId="3F16B6BD" w14:textId="77777777" w:rsidR="00C92054" w:rsidRPr="00C92054" w:rsidRDefault="00C92054" w:rsidP="00C92054">
      <w:pPr>
        <w:rPr>
          <w:b/>
          <w:bCs/>
          <w:sz w:val="20"/>
          <w:szCs w:val="20"/>
        </w:rPr>
      </w:pPr>
    </w:p>
    <w:p w14:paraId="082ABE32" w14:textId="77777777" w:rsidR="00C92054" w:rsidRDefault="00C92054" w:rsidP="00C92054">
      <w:pPr>
        <w:rPr>
          <w:b/>
          <w:bCs/>
          <w:sz w:val="20"/>
          <w:szCs w:val="20"/>
        </w:rPr>
      </w:pPr>
      <w:r w:rsidRPr="00C92054">
        <w:rPr>
          <w:b/>
          <w:bCs/>
          <w:sz w:val="20"/>
          <w:szCs w:val="20"/>
        </w:rPr>
        <w:t xml:space="preserve">Appreciation of Article B5 within ADB and the protection and support required for firefighters in sleep-in sites especially buildings without smoke extraction in basement elements and the consequential elements for consideration around water supplies, hydrants and building accessibility and potentially the retrospective applications for firefighters lifts. </w:t>
      </w:r>
    </w:p>
    <w:p w14:paraId="2E766F2A" w14:textId="77777777" w:rsidR="00C92054" w:rsidRPr="00C92054" w:rsidRDefault="00C92054" w:rsidP="00C92054">
      <w:pPr>
        <w:rPr>
          <w:b/>
          <w:bCs/>
          <w:sz w:val="20"/>
          <w:szCs w:val="20"/>
        </w:rPr>
      </w:pPr>
    </w:p>
    <w:p w14:paraId="6ACF3577" w14:textId="77777777" w:rsidR="00C92054" w:rsidRDefault="00C92054" w:rsidP="00C92054">
      <w:pPr>
        <w:rPr>
          <w:b/>
          <w:bCs/>
          <w:sz w:val="20"/>
          <w:szCs w:val="20"/>
        </w:rPr>
      </w:pPr>
      <w:r w:rsidRPr="00C92054">
        <w:rPr>
          <w:b/>
          <w:bCs/>
          <w:sz w:val="20"/>
          <w:szCs w:val="20"/>
        </w:rPr>
        <w:t xml:space="preserve">Approved Document B, Volume 2, Buildings other than Dwellings (private Houses)  2019 edition incorporating 2020 amendments – for use in England. </w:t>
      </w:r>
    </w:p>
    <w:p w14:paraId="7FD5BDE7" w14:textId="77777777" w:rsidR="00C92054" w:rsidRPr="00C92054" w:rsidRDefault="00C92054" w:rsidP="00C92054">
      <w:pPr>
        <w:rPr>
          <w:b/>
          <w:bCs/>
          <w:sz w:val="20"/>
          <w:szCs w:val="20"/>
        </w:rPr>
      </w:pPr>
    </w:p>
    <w:p w14:paraId="2A430401" w14:textId="77777777" w:rsidR="00C92054" w:rsidRDefault="00C92054" w:rsidP="00C92054">
      <w:pPr>
        <w:rPr>
          <w:b/>
          <w:bCs/>
          <w:sz w:val="20"/>
          <w:szCs w:val="20"/>
        </w:rPr>
      </w:pPr>
      <w:r w:rsidRPr="00C92054">
        <w:rPr>
          <w:b/>
          <w:bCs/>
          <w:sz w:val="20"/>
          <w:szCs w:val="20"/>
        </w:rPr>
        <w:t xml:space="preserve">Requirement B5: Access and facilities for the fire service  </w:t>
      </w:r>
    </w:p>
    <w:p w14:paraId="3BF858E7" w14:textId="77777777" w:rsidR="00C92054" w:rsidRPr="00C92054" w:rsidRDefault="00C92054" w:rsidP="00C92054">
      <w:pPr>
        <w:rPr>
          <w:b/>
          <w:bCs/>
          <w:sz w:val="20"/>
          <w:szCs w:val="20"/>
        </w:rPr>
      </w:pPr>
    </w:p>
    <w:p w14:paraId="67FD51E2" w14:textId="77777777" w:rsidR="00C92054" w:rsidRPr="00C92054" w:rsidRDefault="00C92054" w:rsidP="00C92054">
      <w:pPr>
        <w:rPr>
          <w:b/>
          <w:bCs/>
          <w:sz w:val="20"/>
          <w:szCs w:val="20"/>
        </w:rPr>
      </w:pPr>
      <w:r w:rsidRPr="00C92054">
        <w:rPr>
          <w:b/>
          <w:bCs/>
          <w:sz w:val="20"/>
          <w:szCs w:val="20"/>
        </w:rPr>
        <w:t xml:space="preserve">These sections deal with the following requirement from Part B of Schedule 1 of the Building Regulations 2010.  </w:t>
      </w:r>
    </w:p>
    <w:p w14:paraId="7C3B3BCA" w14:textId="77777777" w:rsidR="00C92054" w:rsidRDefault="00C92054" w:rsidP="00C92054">
      <w:pPr>
        <w:rPr>
          <w:b/>
          <w:bCs/>
          <w:sz w:val="20"/>
          <w:szCs w:val="20"/>
        </w:rPr>
      </w:pPr>
      <w:r w:rsidRPr="00C92054">
        <w:rPr>
          <w:b/>
          <w:bCs/>
          <w:sz w:val="20"/>
          <w:szCs w:val="20"/>
        </w:rPr>
        <w:t xml:space="preserve">Requirement - Limits on application Access and facilities for the fire service B5.  </w:t>
      </w:r>
    </w:p>
    <w:p w14:paraId="1C71E963" w14:textId="77777777" w:rsidR="00C92054" w:rsidRPr="00C92054" w:rsidRDefault="00C92054" w:rsidP="00C92054">
      <w:pPr>
        <w:rPr>
          <w:b/>
          <w:bCs/>
          <w:sz w:val="20"/>
          <w:szCs w:val="20"/>
        </w:rPr>
      </w:pPr>
    </w:p>
    <w:p w14:paraId="313DA3D3" w14:textId="63DEA62F" w:rsidR="00C92054" w:rsidRPr="00C92054" w:rsidRDefault="00C92054" w:rsidP="0077689F">
      <w:pPr>
        <w:numPr>
          <w:ilvl w:val="0"/>
          <w:numId w:val="18"/>
        </w:numPr>
        <w:rPr>
          <w:b/>
          <w:bCs/>
          <w:sz w:val="20"/>
          <w:szCs w:val="20"/>
        </w:rPr>
      </w:pPr>
      <w:r w:rsidRPr="00C92054">
        <w:rPr>
          <w:b/>
          <w:bCs/>
          <w:sz w:val="20"/>
          <w:szCs w:val="20"/>
        </w:rPr>
        <w:t>The building shall be designed and constructed so as to provide reasonable facilities to assist fire fighters in the protection of life – theirs and those within who require assistance to evacuate (persons who cannot self-evacuate).</w:t>
      </w:r>
    </w:p>
    <w:p w14:paraId="24C2AA06" w14:textId="7954F03E" w:rsidR="00C92054" w:rsidRDefault="00C92054" w:rsidP="00C92054">
      <w:pPr>
        <w:ind w:left="720"/>
        <w:rPr>
          <w:b/>
          <w:bCs/>
          <w:sz w:val="20"/>
          <w:szCs w:val="20"/>
        </w:rPr>
      </w:pPr>
      <w:r w:rsidRPr="00C92054">
        <w:rPr>
          <w:b/>
          <w:bCs/>
          <w:sz w:val="20"/>
          <w:szCs w:val="20"/>
        </w:rPr>
        <w:t xml:space="preserve">Reasonable provision shall be made within the site of the building to enable fire appliances to gain access to the building. </w:t>
      </w:r>
    </w:p>
    <w:p w14:paraId="70C14F2C" w14:textId="77777777" w:rsidR="0077689F" w:rsidRDefault="0077689F" w:rsidP="00C92054">
      <w:pPr>
        <w:ind w:left="720"/>
        <w:rPr>
          <w:b/>
          <w:bCs/>
          <w:sz w:val="20"/>
          <w:szCs w:val="20"/>
        </w:rPr>
      </w:pPr>
    </w:p>
    <w:p w14:paraId="612E2AC9" w14:textId="77777777" w:rsidR="00C92054" w:rsidRDefault="00C92054" w:rsidP="00C92054">
      <w:pPr>
        <w:numPr>
          <w:ilvl w:val="0"/>
          <w:numId w:val="18"/>
        </w:numPr>
        <w:rPr>
          <w:b/>
          <w:bCs/>
          <w:sz w:val="20"/>
          <w:szCs w:val="20"/>
        </w:rPr>
      </w:pPr>
      <w:r w:rsidRPr="0077689F">
        <w:rPr>
          <w:b/>
          <w:bCs/>
          <w:sz w:val="20"/>
          <w:szCs w:val="20"/>
        </w:rPr>
        <w:t xml:space="preserve">Provisions covering access and facilities for the fire service are to safeguard the health and safety of people in and around the building, their extent depends on the size and use of the building. </w:t>
      </w:r>
    </w:p>
    <w:p w14:paraId="584E0E57" w14:textId="77777777" w:rsidR="0077689F" w:rsidRDefault="0077689F" w:rsidP="0077689F">
      <w:pPr>
        <w:rPr>
          <w:b/>
          <w:bCs/>
          <w:sz w:val="20"/>
          <w:szCs w:val="20"/>
        </w:rPr>
      </w:pPr>
    </w:p>
    <w:p w14:paraId="432C3A42" w14:textId="29456820" w:rsidR="00C92054" w:rsidRDefault="00C92054" w:rsidP="00C92054">
      <w:pPr>
        <w:numPr>
          <w:ilvl w:val="0"/>
          <w:numId w:val="18"/>
        </w:numPr>
        <w:rPr>
          <w:b/>
          <w:bCs/>
          <w:sz w:val="20"/>
          <w:szCs w:val="20"/>
        </w:rPr>
      </w:pPr>
      <w:r w:rsidRPr="0077689F">
        <w:rPr>
          <w:b/>
          <w:bCs/>
          <w:sz w:val="20"/>
          <w:szCs w:val="20"/>
        </w:rPr>
        <w:t>Most firefighting is carried out within the building and this in the Secretary of State’s vie</w:t>
      </w:r>
      <w:r w:rsidR="0077689F">
        <w:rPr>
          <w:b/>
          <w:bCs/>
          <w:sz w:val="20"/>
          <w:szCs w:val="20"/>
        </w:rPr>
        <w:t xml:space="preserve">w </w:t>
      </w:r>
      <w:r w:rsidRPr="0077689F">
        <w:rPr>
          <w:b/>
          <w:bCs/>
          <w:sz w:val="20"/>
          <w:szCs w:val="20"/>
        </w:rPr>
        <w:t>requirement B5 is met by achieving all of the following:</w:t>
      </w:r>
    </w:p>
    <w:p w14:paraId="28E3EE2F" w14:textId="77777777" w:rsidR="0077689F" w:rsidRDefault="0077689F" w:rsidP="0077689F">
      <w:pPr>
        <w:pStyle w:val="ListParagraph"/>
        <w:rPr>
          <w:b/>
          <w:bCs/>
          <w:sz w:val="20"/>
          <w:szCs w:val="20"/>
        </w:rPr>
      </w:pPr>
    </w:p>
    <w:p w14:paraId="12C3DCA2" w14:textId="0DD93681" w:rsidR="00C92054" w:rsidRDefault="00C92054" w:rsidP="0077689F">
      <w:pPr>
        <w:numPr>
          <w:ilvl w:val="0"/>
          <w:numId w:val="19"/>
        </w:numPr>
        <w:rPr>
          <w:b/>
          <w:bCs/>
          <w:sz w:val="20"/>
          <w:szCs w:val="20"/>
        </w:rPr>
      </w:pPr>
      <w:r w:rsidRPr="0077689F">
        <w:rPr>
          <w:b/>
          <w:bCs/>
          <w:sz w:val="20"/>
          <w:szCs w:val="20"/>
        </w:rPr>
        <w:t>External access enabling fire appliances to be used near the building</w:t>
      </w:r>
    </w:p>
    <w:p w14:paraId="7EF3E07B" w14:textId="0836219A" w:rsidR="00C92054" w:rsidRDefault="00C92054" w:rsidP="00C92054">
      <w:pPr>
        <w:numPr>
          <w:ilvl w:val="0"/>
          <w:numId w:val="19"/>
        </w:numPr>
        <w:rPr>
          <w:b/>
          <w:bCs/>
          <w:sz w:val="20"/>
          <w:szCs w:val="20"/>
        </w:rPr>
      </w:pPr>
      <w:r w:rsidRPr="0077689F">
        <w:rPr>
          <w:b/>
          <w:bCs/>
          <w:sz w:val="20"/>
          <w:szCs w:val="20"/>
        </w:rPr>
        <w:t xml:space="preserve">Access into and within the building for firefighting personnel to both (1) search for and rescue people  &amp; (2) fight the fire.  </w:t>
      </w:r>
    </w:p>
    <w:p w14:paraId="6CF7C046" w14:textId="54BA47E2" w:rsidR="00C92054" w:rsidRDefault="00C92054" w:rsidP="00C92054">
      <w:pPr>
        <w:numPr>
          <w:ilvl w:val="0"/>
          <w:numId w:val="19"/>
        </w:numPr>
        <w:rPr>
          <w:b/>
          <w:bCs/>
          <w:sz w:val="20"/>
          <w:szCs w:val="20"/>
        </w:rPr>
      </w:pPr>
      <w:r w:rsidRPr="0077689F">
        <w:rPr>
          <w:b/>
          <w:bCs/>
          <w:sz w:val="20"/>
          <w:szCs w:val="20"/>
        </w:rPr>
        <w:t>Provision for internal fire facilities for firefighters to complete their tasks</w:t>
      </w:r>
    </w:p>
    <w:p w14:paraId="7798255A" w14:textId="24E7957F" w:rsidR="00C92054" w:rsidRDefault="00C92054" w:rsidP="00C92054">
      <w:pPr>
        <w:numPr>
          <w:ilvl w:val="0"/>
          <w:numId w:val="19"/>
        </w:numPr>
        <w:rPr>
          <w:b/>
          <w:bCs/>
          <w:sz w:val="20"/>
          <w:szCs w:val="20"/>
        </w:rPr>
      </w:pPr>
      <w:r w:rsidRPr="0077689F">
        <w:rPr>
          <w:b/>
          <w:bCs/>
          <w:sz w:val="20"/>
          <w:szCs w:val="20"/>
        </w:rPr>
        <w:t>Ventilation of heat and smoke from a fire in a basement or elements which may spread into escape stairways and landings * used by persons trying to escape or where firefighters are working their way through to reach persons who cannot self-evacuate.</w:t>
      </w:r>
    </w:p>
    <w:p w14:paraId="301FCB97" w14:textId="77777777" w:rsidR="00615702" w:rsidRPr="0077689F" w:rsidRDefault="00615702" w:rsidP="00615702">
      <w:pPr>
        <w:rPr>
          <w:b/>
          <w:bCs/>
          <w:sz w:val="20"/>
          <w:szCs w:val="20"/>
        </w:rPr>
      </w:pPr>
    </w:p>
    <w:p w14:paraId="22DDEB81" w14:textId="5BE90E1E" w:rsidR="00C92054" w:rsidRDefault="00C92054" w:rsidP="00C92054">
      <w:pPr>
        <w:rPr>
          <w:b/>
          <w:bCs/>
          <w:sz w:val="20"/>
          <w:szCs w:val="20"/>
        </w:rPr>
      </w:pPr>
      <w:r w:rsidRPr="00C92054">
        <w:rPr>
          <w:b/>
          <w:bCs/>
          <w:sz w:val="20"/>
          <w:szCs w:val="20"/>
        </w:rPr>
        <w:t>Smoke extraction is likely to be required to facilitate the ventilation of smoke in a fire situation which may inhibit the emergency services or persons trying to escape.</w:t>
      </w:r>
    </w:p>
    <w:p w14:paraId="7080C467" w14:textId="77777777" w:rsidR="00615702" w:rsidRPr="00C92054" w:rsidRDefault="00615702" w:rsidP="00C92054">
      <w:pPr>
        <w:rPr>
          <w:b/>
          <w:bCs/>
          <w:sz w:val="20"/>
          <w:szCs w:val="20"/>
        </w:rPr>
      </w:pPr>
    </w:p>
    <w:p w14:paraId="36A06671" w14:textId="77777777" w:rsidR="00C92054" w:rsidRDefault="00C92054" w:rsidP="00C92054">
      <w:pPr>
        <w:rPr>
          <w:b/>
          <w:bCs/>
          <w:sz w:val="20"/>
          <w:szCs w:val="20"/>
        </w:rPr>
      </w:pPr>
      <w:r w:rsidRPr="00C92054">
        <w:rPr>
          <w:b/>
          <w:bCs/>
          <w:sz w:val="20"/>
          <w:szCs w:val="20"/>
        </w:rPr>
        <w:t xml:space="preserve">If an alternative approach is taken to providing the means of escape, outside the scope of this approved document, additional provisions for firefighting access may be required and thus where deviating from the general guidance, it is essential to seek advice from the fire and rescue service as early as possible even if there is no statutory duty to consult to ensure that adequate and known support measures are in place and fully documented for the site in the site information box. </w:t>
      </w:r>
    </w:p>
    <w:p w14:paraId="4FB81163" w14:textId="77777777" w:rsidR="00615702" w:rsidRPr="00C92054" w:rsidRDefault="00615702" w:rsidP="00C92054">
      <w:pPr>
        <w:rPr>
          <w:b/>
          <w:bCs/>
          <w:sz w:val="20"/>
          <w:szCs w:val="20"/>
        </w:rPr>
      </w:pPr>
    </w:p>
    <w:p w14:paraId="4286C7D4" w14:textId="77777777" w:rsidR="00C92054" w:rsidRDefault="00C92054" w:rsidP="00C92054">
      <w:pPr>
        <w:rPr>
          <w:b/>
          <w:bCs/>
          <w:sz w:val="20"/>
          <w:szCs w:val="20"/>
        </w:rPr>
      </w:pPr>
      <w:r w:rsidRPr="00C92054">
        <w:rPr>
          <w:b/>
          <w:bCs/>
          <w:sz w:val="20"/>
          <w:szCs w:val="20"/>
        </w:rPr>
        <w:t xml:space="preserve">Section 15: Vehicle access - Buildings not fitted with fire mains  </w:t>
      </w:r>
    </w:p>
    <w:p w14:paraId="3AE20109" w14:textId="77777777" w:rsidR="00615702" w:rsidRPr="00C92054" w:rsidRDefault="00615702" w:rsidP="00C92054">
      <w:pPr>
        <w:rPr>
          <w:b/>
          <w:bCs/>
          <w:sz w:val="20"/>
          <w:szCs w:val="20"/>
        </w:rPr>
      </w:pPr>
    </w:p>
    <w:p w14:paraId="47ACF47F" w14:textId="77777777" w:rsidR="00C92054" w:rsidRPr="00C92054" w:rsidRDefault="00C92054" w:rsidP="00C92054">
      <w:pPr>
        <w:rPr>
          <w:b/>
          <w:bCs/>
          <w:sz w:val="20"/>
          <w:szCs w:val="20"/>
        </w:rPr>
      </w:pPr>
      <w:r w:rsidRPr="00C92054">
        <w:rPr>
          <w:b/>
          <w:bCs/>
          <w:sz w:val="20"/>
          <w:szCs w:val="20"/>
        </w:rPr>
        <w:t>15.1 For small buildings (up to 2000m2, with a top occupied storey that is a maximum of 11m above ground level), vehicle access for a pump appliance should be provided to whichever is the less onerous so either (1) 15% of the perimeter or (2) Within 45m of every point of the footprint of the building  and for all other buildings, provide vehicle access in accordance with 15.2</w:t>
      </w:r>
    </w:p>
    <w:p w14:paraId="512C75DE" w14:textId="77777777" w:rsidR="00C92054" w:rsidRDefault="00C92054" w:rsidP="00C92054">
      <w:pPr>
        <w:rPr>
          <w:b/>
          <w:bCs/>
          <w:sz w:val="20"/>
          <w:szCs w:val="20"/>
        </w:rPr>
      </w:pPr>
      <w:r w:rsidRPr="00C92054">
        <w:rPr>
          <w:b/>
          <w:bCs/>
          <w:sz w:val="20"/>
          <w:szCs w:val="20"/>
        </w:rPr>
        <w:lastRenderedPageBreak/>
        <w:t xml:space="preserve">15.3 Every elevation to which vehicle access is provided should have a door, a minimum of 750mm wide, to give access into the building. </w:t>
      </w:r>
    </w:p>
    <w:p w14:paraId="5E888486" w14:textId="77777777" w:rsidR="00615702" w:rsidRPr="00C92054" w:rsidRDefault="00615702" w:rsidP="00C92054">
      <w:pPr>
        <w:rPr>
          <w:b/>
          <w:bCs/>
          <w:sz w:val="20"/>
          <w:szCs w:val="20"/>
        </w:rPr>
      </w:pPr>
    </w:p>
    <w:p w14:paraId="5CEB81FD" w14:textId="77777777" w:rsidR="00615702" w:rsidRDefault="00C92054" w:rsidP="00C92054">
      <w:pPr>
        <w:rPr>
          <w:b/>
          <w:bCs/>
          <w:sz w:val="20"/>
          <w:szCs w:val="20"/>
        </w:rPr>
      </w:pPr>
      <w:r w:rsidRPr="00C92054">
        <w:rPr>
          <w:b/>
          <w:bCs/>
          <w:sz w:val="20"/>
          <w:szCs w:val="20"/>
        </w:rPr>
        <w:t>The maximum distance between doors, or between a door and the end of the elevation, is 60m (e.g. a 150m elevation would need a minimum of two doors)</w:t>
      </w:r>
    </w:p>
    <w:p w14:paraId="31B2954C" w14:textId="365102F7" w:rsidR="00C92054" w:rsidRPr="00C92054" w:rsidRDefault="00C92054" w:rsidP="00C92054">
      <w:pPr>
        <w:rPr>
          <w:b/>
          <w:bCs/>
          <w:sz w:val="20"/>
          <w:szCs w:val="20"/>
        </w:rPr>
      </w:pPr>
      <w:r w:rsidRPr="00C92054">
        <w:rPr>
          <w:b/>
          <w:bCs/>
          <w:sz w:val="20"/>
          <w:szCs w:val="20"/>
        </w:rPr>
        <w:t xml:space="preserve"> </w:t>
      </w:r>
    </w:p>
    <w:p w14:paraId="2B1661AC" w14:textId="77777777" w:rsidR="00C92054" w:rsidRDefault="00C92054" w:rsidP="00C92054">
      <w:pPr>
        <w:rPr>
          <w:b/>
          <w:bCs/>
          <w:sz w:val="20"/>
          <w:szCs w:val="20"/>
        </w:rPr>
      </w:pPr>
      <w:r w:rsidRPr="00C92054">
        <w:rPr>
          <w:b/>
          <w:bCs/>
          <w:sz w:val="20"/>
          <w:szCs w:val="20"/>
        </w:rPr>
        <w:t xml:space="preserve">Buildings fitted with fire mains  </w:t>
      </w:r>
    </w:p>
    <w:p w14:paraId="1A6C3800" w14:textId="77777777" w:rsidR="00615702" w:rsidRPr="00C92054" w:rsidRDefault="00615702" w:rsidP="00C92054">
      <w:pPr>
        <w:rPr>
          <w:b/>
          <w:bCs/>
          <w:sz w:val="20"/>
          <w:szCs w:val="20"/>
        </w:rPr>
      </w:pPr>
    </w:p>
    <w:p w14:paraId="14ADCDE4" w14:textId="77777777" w:rsidR="00C92054" w:rsidRDefault="00C92054" w:rsidP="00C92054">
      <w:pPr>
        <w:rPr>
          <w:b/>
          <w:bCs/>
          <w:sz w:val="20"/>
          <w:szCs w:val="20"/>
        </w:rPr>
      </w:pPr>
      <w:r w:rsidRPr="00C92054">
        <w:rPr>
          <w:b/>
          <w:bCs/>
          <w:sz w:val="20"/>
          <w:szCs w:val="20"/>
        </w:rPr>
        <w:t xml:space="preserve">15.4 For buildings fitted with dry fire mains, both of the following apply: </w:t>
      </w:r>
    </w:p>
    <w:p w14:paraId="3CF4809F" w14:textId="77777777" w:rsidR="00615702" w:rsidRPr="00C92054" w:rsidRDefault="00615702" w:rsidP="00C92054">
      <w:pPr>
        <w:rPr>
          <w:b/>
          <w:bCs/>
          <w:sz w:val="20"/>
          <w:szCs w:val="20"/>
        </w:rPr>
      </w:pPr>
    </w:p>
    <w:p w14:paraId="6AC06577" w14:textId="23E18856" w:rsidR="00C92054" w:rsidRDefault="00C92054" w:rsidP="00C92054">
      <w:pPr>
        <w:rPr>
          <w:b/>
          <w:bCs/>
          <w:sz w:val="20"/>
          <w:szCs w:val="20"/>
        </w:rPr>
      </w:pPr>
      <w:r w:rsidRPr="00C92054">
        <w:rPr>
          <w:b/>
          <w:bCs/>
          <w:sz w:val="20"/>
          <w:szCs w:val="20"/>
        </w:rPr>
        <w:t xml:space="preserve">Access should be provided for a pumping appliance to within 18m of each fire main inlet connection point and 2 inlets should be on the face of the building.  </w:t>
      </w:r>
    </w:p>
    <w:p w14:paraId="6A07B2E7" w14:textId="77777777" w:rsidR="00133124" w:rsidRPr="00C92054" w:rsidRDefault="00133124" w:rsidP="00C92054">
      <w:pPr>
        <w:rPr>
          <w:b/>
          <w:bCs/>
          <w:sz w:val="20"/>
          <w:szCs w:val="20"/>
        </w:rPr>
      </w:pPr>
    </w:p>
    <w:p w14:paraId="72016490" w14:textId="77777777" w:rsidR="00C92054" w:rsidRDefault="00C92054" w:rsidP="00C92054">
      <w:pPr>
        <w:rPr>
          <w:b/>
          <w:bCs/>
          <w:sz w:val="20"/>
          <w:szCs w:val="20"/>
        </w:rPr>
      </w:pPr>
      <w:r w:rsidRPr="00C92054">
        <w:rPr>
          <w:b/>
          <w:bCs/>
          <w:sz w:val="20"/>
          <w:szCs w:val="20"/>
        </w:rPr>
        <w:t xml:space="preserve">The fire main inlet connection point should be visible from the parking position of the appliance and satisfy paragraph 16.10. </w:t>
      </w:r>
    </w:p>
    <w:p w14:paraId="481BAC62" w14:textId="77777777" w:rsidR="00133124" w:rsidRPr="00C92054" w:rsidRDefault="00133124" w:rsidP="00C92054">
      <w:pPr>
        <w:rPr>
          <w:b/>
          <w:bCs/>
          <w:sz w:val="20"/>
          <w:szCs w:val="20"/>
        </w:rPr>
      </w:pPr>
    </w:p>
    <w:p w14:paraId="3A7BDC74" w14:textId="42B84B27" w:rsidR="00C92054" w:rsidRPr="00C92054" w:rsidRDefault="00133124" w:rsidP="00C92054">
      <w:pPr>
        <w:rPr>
          <w:b/>
          <w:bCs/>
          <w:sz w:val="20"/>
          <w:szCs w:val="20"/>
        </w:rPr>
      </w:pPr>
      <w:r>
        <w:rPr>
          <w:b/>
          <w:bCs/>
          <w:sz w:val="20"/>
          <w:szCs w:val="20"/>
        </w:rPr>
        <w:t xml:space="preserve">15.5 </w:t>
      </w:r>
      <w:r w:rsidR="00C92054" w:rsidRPr="00C92054">
        <w:rPr>
          <w:b/>
          <w:bCs/>
          <w:sz w:val="20"/>
          <w:szCs w:val="20"/>
        </w:rPr>
        <w:t>For buildings fitted with wet fire mains, access for a pumping appliance should comply with both of the following:</w:t>
      </w:r>
    </w:p>
    <w:p w14:paraId="3CC51699" w14:textId="3328016B" w:rsidR="00C92054" w:rsidRDefault="00C92054" w:rsidP="00C92054">
      <w:pPr>
        <w:rPr>
          <w:b/>
          <w:bCs/>
          <w:sz w:val="20"/>
          <w:szCs w:val="20"/>
        </w:rPr>
      </w:pPr>
      <w:r w:rsidRPr="00C92054">
        <w:rPr>
          <w:b/>
          <w:bCs/>
          <w:sz w:val="20"/>
          <w:szCs w:val="20"/>
        </w:rPr>
        <w:t>1. Within 18m, and within sight of, an entrance giving access to the fire main</w:t>
      </w:r>
      <w:r w:rsidR="00133124">
        <w:rPr>
          <w:b/>
          <w:bCs/>
          <w:sz w:val="20"/>
          <w:szCs w:val="20"/>
        </w:rPr>
        <w:t>.</w:t>
      </w:r>
    </w:p>
    <w:p w14:paraId="2DD9D780" w14:textId="77777777" w:rsidR="00133124" w:rsidRPr="00C92054" w:rsidRDefault="00133124" w:rsidP="00C92054">
      <w:pPr>
        <w:rPr>
          <w:b/>
          <w:bCs/>
          <w:sz w:val="20"/>
          <w:szCs w:val="20"/>
        </w:rPr>
      </w:pPr>
    </w:p>
    <w:p w14:paraId="7000B7DB" w14:textId="77777777" w:rsidR="00C92054" w:rsidRDefault="00C92054" w:rsidP="00C92054">
      <w:pPr>
        <w:rPr>
          <w:b/>
          <w:bCs/>
          <w:sz w:val="20"/>
          <w:szCs w:val="20"/>
        </w:rPr>
      </w:pPr>
      <w:r w:rsidRPr="00C92054">
        <w:rPr>
          <w:b/>
          <w:bCs/>
          <w:sz w:val="20"/>
          <w:szCs w:val="20"/>
        </w:rPr>
        <w:t xml:space="preserve">2. Within sight of the inlet to replenish the suction tank for the fire main in an emergency.  </w:t>
      </w:r>
    </w:p>
    <w:p w14:paraId="72C01D23" w14:textId="77777777" w:rsidR="00133124" w:rsidRPr="00C92054" w:rsidRDefault="00133124" w:rsidP="00C92054">
      <w:pPr>
        <w:rPr>
          <w:b/>
          <w:bCs/>
          <w:sz w:val="20"/>
          <w:szCs w:val="20"/>
        </w:rPr>
      </w:pPr>
    </w:p>
    <w:p w14:paraId="669A4950" w14:textId="77777777" w:rsidR="00C92054" w:rsidRDefault="00C92054" w:rsidP="00C92054">
      <w:pPr>
        <w:rPr>
          <w:b/>
          <w:bCs/>
          <w:sz w:val="20"/>
          <w:szCs w:val="20"/>
        </w:rPr>
      </w:pPr>
      <w:r w:rsidRPr="00C92054">
        <w:rPr>
          <w:b/>
          <w:bCs/>
          <w:sz w:val="20"/>
          <w:szCs w:val="20"/>
        </w:rPr>
        <w:t xml:space="preserve">15.6 Where fire mains are provided in buildings for which Sections 16 and 17 make no provision, vehicle access may be as described in 15.4 and 15.5, rather than 15.1. </w:t>
      </w:r>
    </w:p>
    <w:p w14:paraId="37559358" w14:textId="77777777" w:rsidR="00133124" w:rsidRPr="00C92054" w:rsidRDefault="00133124" w:rsidP="00C92054">
      <w:pPr>
        <w:rPr>
          <w:b/>
          <w:bCs/>
          <w:sz w:val="20"/>
          <w:szCs w:val="20"/>
        </w:rPr>
      </w:pPr>
    </w:p>
    <w:p w14:paraId="1EA26EF9" w14:textId="77777777" w:rsidR="00133124" w:rsidRDefault="00C92054" w:rsidP="00C92054">
      <w:pPr>
        <w:rPr>
          <w:b/>
          <w:bCs/>
          <w:sz w:val="20"/>
          <w:szCs w:val="20"/>
        </w:rPr>
      </w:pPr>
      <w:r w:rsidRPr="00C92054">
        <w:rPr>
          <w:b/>
          <w:bCs/>
          <w:sz w:val="20"/>
          <w:szCs w:val="20"/>
        </w:rPr>
        <w:t>Design of access routes and hard-standings</w:t>
      </w:r>
      <w:r w:rsidR="00133124">
        <w:rPr>
          <w:b/>
          <w:bCs/>
          <w:sz w:val="20"/>
          <w:szCs w:val="20"/>
        </w:rPr>
        <w:t>.</w:t>
      </w:r>
    </w:p>
    <w:p w14:paraId="47FB6C89" w14:textId="1AF4064D" w:rsidR="00C92054" w:rsidRPr="00C92054" w:rsidRDefault="00C92054" w:rsidP="00C92054">
      <w:pPr>
        <w:rPr>
          <w:b/>
          <w:bCs/>
          <w:sz w:val="20"/>
          <w:szCs w:val="20"/>
        </w:rPr>
      </w:pPr>
      <w:r w:rsidRPr="00C92054">
        <w:rPr>
          <w:b/>
          <w:bCs/>
          <w:sz w:val="20"/>
          <w:szCs w:val="20"/>
        </w:rPr>
        <w:t xml:space="preserve">  </w:t>
      </w:r>
    </w:p>
    <w:p w14:paraId="137FA1E2" w14:textId="77777777" w:rsidR="00C92054" w:rsidRDefault="00C92054" w:rsidP="00C92054">
      <w:pPr>
        <w:rPr>
          <w:b/>
          <w:bCs/>
          <w:sz w:val="20"/>
          <w:szCs w:val="20"/>
        </w:rPr>
      </w:pPr>
      <w:r w:rsidRPr="00C92054">
        <w:rPr>
          <w:b/>
          <w:bCs/>
          <w:sz w:val="20"/>
          <w:szCs w:val="20"/>
        </w:rPr>
        <w:t xml:space="preserve">15.7 Access routes and hard-standings should comply with the guidance in Table 15.2, requirements can only apply to the site of the works, it may not be reasonable to upgrade the route across a site to a small building, the building control body, in consultation with the fire and rescue service, should consider options from doing no work to upgrading certain features, such as sharp bends.  </w:t>
      </w:r>
    </w:p>
    <w:p w14:paraId="75694206" w14:textId="77777777" w:rsidR="00133124" w:rsidRPr="00C92054" w:rsidRDefault="00133124" w:rsidP="00C92054">
      <w:pPr>
        <w:rPr>
          <w:b/>
          <w:bCs/>
          <w:sz w:val="20"/>
          <w:szCs w:val="20"/>
        </w:rPr>
      </w:pPr>
    </w:p>
    <w:p w14:paraId="227213F9" w14:textId="77777777" w:rsidR="00C92054" w:rsidRDefault="00C92054" w:rsidP="00C92054">
      <w:pPr>
        <w:rPr>
          <w:b/>
          <w:bCs/>
          <w:sz w:val="20"/>
          <w:szCs w:val="20"/>
        </w:rPr>
      </w:pPr>
      <w:r w:rsidRPr="00C92054">
        <w:rPr>
          <w:b/>
          <w:bCs/>
          <w:sz w:val="20"/>
          <w:szCs w:val="20"/>
        </w:rPr>
        <w:t xml:space="preserve">15.8 Where access to an elevation is provided in accordance with Table 15.1, the following requirements should be met, depending on the building height. a. Buildings up to 11m, excluding small buildings (paragraph 15.1): pump appliance access should be provided adjacent to the building for the specified percentage of the total perimeter. b. Buildings over 11m: access routes should comply with the guidance in 15.2. </w:t>
      </w:r>
    </w:p>
    <w:p w14:paraId="2390D701" w14:textId="77777777" w:rsidR="00133124" w:rsidRPr="00C92054" w:rsidRDefault="00133124" w:rsidP="00C92054">
      <w:pPr>
        <w:rPr>
          <w:b/>
          <w:bCs/>
          <w:sz w:val="20"/>
          <w:szCs w:val="20"/>
        </w:rPr>
      </w:pPr>
    </w:p>
    <w:p w14:paraId="0D750C21" w14:textId="77777777" w:rsidR="00C92054" w:rsidRDefault="00C92054" w:rsidP="00C92054">
      <w:pPr>
        <w:rPr>
          <w:b/>
          <w:bCs/>
          <w:sz w:val="20"/>
          <w:szCs w:val="20"/>
        </w:rPr>
      </w:pPr>
      <w:r w:rsidRPr="00C92054">
        <w:rPr>
          <w:b/>
          <w:bCs/>
          <w:sz w:val="20"/>
          <w:szCs w:val="20"/>
        </w:rPr>
        <w:t xml:space="preserve">15.9 Where access is provided for high reach appliances in accordance with 15.1, overhead obstructions (such as cables and branches) should be avoided in 15.2.  </w:t>
      </w:r>
    </w:p>
    <w:p w14:paraId="1ED1A7A1" w14:textId="77777777" w:rsidR="00133124" w:rsidRPr="00C92054" w:rsidRDefault="00133124" w:rsidP="00C92054">
      <w:pPr>
        <w:rPr>
          <w:b/>
          <w:bCs/>
          <w:sz w:val="20"/>
          <w:szCs w:val="20"/>
        </w:rPr>
      </w:pPr>
    </w:p>
    <w:p w14:paraId="5E5F0B34" w14:textId="77777777" w:rsidR="00C92054" w:rsidRPr="00C92054" w:rsidRDefault="00C92054" w:rsidP="00C92054">
      <w:pPr>
        <w:rPr>
          <w:b/>
          <w:bCs/>
          <w:sz w:val="20"/>
          <w:szCs w:val="20"/>
        </w:rPr>
      </w:pPr>
      <w:r w:rsidRPr="00C92054">
        <w:rPr>
          <w:b/>
          <w:bCs/>
          <w:sz w:val="20"/>
          <w:szCs w:val="20"/>
        </w:rPr>
        <w:t>15.10 Dead-end access routes longer than 20m require turning facilities, as in 15.3.</w:t>
      </w:r>
    </w:p>
    <w:p w14:paraId="7F3DB316" w14:textId="77777777" w:rsidR="00C92054" w:rsidRPr="00C92054" w:rsidRDefault="00C92054" w:rsidP="00C92054">
      <w:pPr>
        <w:rPr>
          <w:b/>
          <w:bCs/>
          <w:sz w:val="20"/>
          <w:szCs w:val="20"/>
        </w:rPr>
      </w:pPr>
    </w:p>
    <w:p w14:paraId="7D0C5417" w14:textId="77777777" w:rsidR="00C92054" w:rsidRDefault="00C92054" w:rsidP="00C92054">
      <w:pPr>
        <w:rPr>
          <w:b/>
          <w:bCs/>
          <w:sz w:val="20"/>
          <w:szCs w:val="20"/>
        </w:rPr>
      </w:pPr>
      <w:r w:rsidRPr="00C92054">
        <w:rPr>
          <w:b/>
          <w:bCs/>
          <w:sz w:val="20"/>
          <w:szCs w:val="20"/>
        </w:rPr>
        <w:t xml:space="preserve">Turning facilities should comply with the guidance in 15.2. </w:t>
      </w:r>
    </w:p>
    <w:p w14:paraId="0483679F" w14:textId="77777777" w:rsidR="00133124" w:rsidRPr="00C92054" w:rsidRDefault="00133124" w:rsidP="00C92054">
      <w:pPr>
        <w:rPr>
          <w:b/>
          <w:bCs/>
          <w:sz w:val="20"/>
          <w:szCs w:val="20"/>
        </w:rPr>
      </w:pPr>
    </w:p>
    <w:p w14:paraId="5D02F55C" w14:textId="77777777" w:rsidR="00C92054" w:rsidRDefault="00C92054" w:rsidP="00C92054">
      <w:pPr>
        <w:rPr>
          <w:b/>
          <w:bCs/>
          <w:sz w:val="20"/>
          <w:szCs w:val="20"/>
        </w:rPr>
      </w:pPr>
      <w:r w:rsidRPr="00C92054">
        <w:rPr>
          <w:b/>
          <w:bCs/>
          <w:sz w:val="20"/>
          <w:szCs w:val="20"/>
        </w:rPr>
        <w:t xml:space="preserve">Overall, access routes should have a minimum width of 3.7m between kerbs, noting that WMFS appliances require a minimum height clearance of 4.1m and a minimum carrying capacity of 15 tonnes (ADB Vol 2 - 15.2) </w:t>
      </w:r>
    </w:p>
    <w:p w14:paraId="480C7D51" w14:textId="77777777" w:rsidR="00133124" w:rsidRPr="00C92054" w:rsidRDefault="00133124" w:rsidP="00C92054">
      <w:pPr>
        <w:rPr>
          <w:b/>
          <w:bCs/>
          <w:sz w:val="20"/>
          <w:szCs w:val="20"/>
        </w:rPr>
      </w:pPr>
    </w:p>
    <w:p w14:paraId="558B9FC4" w14:textId="77777777" w:rsidR="00C92054" w:rsidRDefault="00C92054" w:rsidP="00C92054">
      <w:pPr>
        <w:rPr>
          <w:b/>
          <w:bCs/>
          <w:sz w:val="20"/>
          <w:szCs w:val="20"/>
        </w:rPr>
      </w:pPr>
      <w:r w:rsidRPr="00C92054">
        <w:rPr>
          <w:b/>
          <w:bCs/>
          <w:sz w:val="20"/>
          <w:szCs w:val="20"/>
        </w:rPr>
        <w:t xml:space="preserve">Section 16: Fire mains and hydrants </w:t>
      </w:r>
    </w:p>
    <w:p w14:paraId="38933090" w14:textId="77777777" w:rsidR="00133124" w:rsidRPr="00C92054" w:rsidRDefault="00133124" w:rsidP="00C92054">
      <w:pPr>
        <w:rPr>
          <w:b/>
          <w:bCs/>
          <w:sz w:val="20"/>
          <w:szCs w:val="20"/>
        </w:rPr>
      </w:pPr>
    </w:p>
    <w:p w14:paraId="687CF7C5" w14:textId="77777777" w:rsidR="00C92054" w:rsidRDefault="00C92054" w:rsidP="00C92054">
      <w:pPr>
        <w:rPr>
          <w:b/>
          <w:bCs/>
          <w:sz w:val="20"/>
          <w:szCs w:val="20"/>
        </w:rPr>
      </w:pPr>
      <w:r w:rsidRPr="00C92054">
        <w:rPr>
          <w:b/>
          <w:bCs/>
          <w:sz w:val="20"/>
          <w:szCs w:val="20"/>
        </w:rPr>
        <w:t xml:space="preserve">Provision of fire mains  </w:t>
      </w:r>
    </w:p>
    <w:p w14:paraId="76656CCE" w14:textId="77777777" w:rsidR="00133124" w:rsidRPr="00C92054" w:rsidRDefault="00133124" w:rsidP="00C92054">
      <w:pPr>
        <w:rPr>
          <w:b/>
          <w:bCs/>
          <w:sz w:val="20"/>
          <w:szCs w:val="20"/>
        </w:rPr>
      </w:pPr>
    </w:p>
    <w:p w14:paraId="1D3A2B0B" w14:textId="77777777" w:rsidR="00C92054" w:rsidRDefault="00C92054" w:rsidP="00C92054">
      <w:pPr>
        <w:rPr>
          <w:b/>
          <w:bCs/>
          <w:sz w:val="20"/>
          <w:szCs w:val="20"/>
        </w:rPr>
      </w:pPr>
      <w:r w:rsidRPr="00C92054">
        <w:rPr>
          <w:b/>
          <w:bCs/>
          <w:sz w:val="20"/>
          <w:szCs w:val="20"/>
        </w:rPr>
        <w:t xml:space="preserve">16.2 Buildings with firefighting shafts should have fire mains in both  firefighting shafts and where necessary, in protected escape stairs. The criteria for providing firefighting shafts and fire mains are given in Section 17.  </w:t>
      </w:r>
    </w:p>
    <w:p w14:paraId="67C0F3F1" w14:textId="77777777" w:rsidR="00133124" w:rsidRPr="00C92054" w:rsidRDefault="00133124" w:rsidP="00C92054">
      <w:pPr>
        <w:rPr>
          <w:b/>
          <w:bCs/>
          <w:sz w:val="20"/>
          <w:szCs w:val="20"/>
        </w:rPr>
      </w:pPr>
    </w:p>
    <w:p w14:paraId="5B91FCBE" w14:textId="77777777" w:rsidR="00C92054" w:rsidRDefault="00C92054" w:rsidP="00C92054">
      <w:pPr>
        <w:rPr>
          <w:b/>
          <w:bCs/>
          <w:sz w:val="20"/>
          <w:szCs w:val="20"/>
        </w:rPr>
      </w:pPr>
      <w:r w:rsidRPr="00C92054">
        <w:rPr>
          <w:b/>
          <w:bCs/>
          <w:sz w:val="20"/>
          <w:szCs w:val="20"/>
        </w:rPr>
        <w:t xml:space="preserve">16.3 Buildings without firefighting shafts should be provided with fire mains where fire service vehicle access is not provided in accordance with 15.1 - in these cases, outlets from fire mains should be located as described in paragraph  16.4, with a maximum hose distance of 45m from the fire main outlet to the furthest  point, measured on a route suitable for laying a hose. Stairs do not need to be designed as firefighting shafts. </w:t>
      </w:r>
    </w:p>
    <w:p w14:paraId="7CF8B47F" w14:textId="77777777" w:rsidR="00133124" w:rsidRPr="00C92054" w:rsidRDefault="00133124" w:rsidP="00C92054">
      <w:pPr>
        <w:rPr>
          <w:b/>
          <w:bCs/>
          <w:sz w:val="20"/>
          <w:szCs w:val="20"/>
        </w:rPr>
      </w:pPr>
    </w:p>
    <w:p w14:paraId="4080470F" w14:textId="77777777" w:rsidR="00133124" w:rsidRDefault="00133124" w:rsidP="00C92054">
      <w:pPr>
        <w:rPr>
          <w:b/>
          <w:bCs/>
          <w:sz w:val="20"/>
          <w:szCs w:val="20"/>
        </w:rPr>
      </w:pPr>
    </w:p>
    <w:p w14:paraId="7D56149B" w14:textId="77777777" w:rsidR="00133124" w:rsidRDefault="00133124" w:rsidP="00C92054">
      <w:pPr>
        <w:rPr>
          <w:b/>
          <w:bCs/>
          <w:sz w:val="20"/>
          <w:szCs w:val="20"/>
        </w:rPr>
      </w:pPr>
    </w:p>
    <w:p w14:paraId="0A99E443" w14:textId="1432D65B" w:rsidR="00C92054" w:rsidRDefault="00C92054" w:rsidP="00C92054">
      <w:pPr>
        <w:rPr>
          <w:b/>
          <w:bCs/>
          <w:sz w:val="20"/>
          <w:szCs w:val="20"/>
        </w:rPr>
      </w:pPr>
      <w:r w:rsidRPr="00C92054">
        <w:rPr>
          <w:b/>
          <w:bCs/>
          <w:sz w:val="20"/>
          <w:szCs w:val="20"/>
        </w:rPr>
        <w:lastRenderedPageBreak/>
        <w:t>Provision of private hydrants.</w:t>
      </w:r>
    </w:p>
    <w:p w14:paraId="39113B68" w14:textId="77777777" w:rsidR="00133124" w:rsidRPr="00C92054" w:rsidRDefault="00133124" w:rsidP="00C92054">
      <w:pPr>
        <w:rPr>
          <w:b/>
          <w:bCs/>
          <w:sz w:val="20"/>
          <w:szCs w:val="20"/>
        </w:rPr>
      </w:pPr>
    </w:p>
    <w:p w14:paraId="4CD68CA5" w14:textId="77777777" w:rsidR="00C92054" w:rsidRDefault="00C92054" w:rsidP="00C92054">
      <w:pPr>
        <w:rPr>
          <w:b/>
          <w:bCs/>
          <w:sz w:val="20"/>
          <w:szCs w:val="20"/>
        </w:rPr>
      </w:pPr>
      <w:r w:rsidRPr="00C92054">
        <w:rPr>
          <w:b/>
          <w:bCs/>
          <w:sz w:val="20"/>
          <w:szCs w:val="20"/>
        </w:rPr>
        <w:t xml:space="preserve">16.8 A building requires additional fire hydrants if both of the following apply (1) it has a compartment with an area more than 280m2 and (2) it is being erected more than 100m from an existing fire hydrant.  </w:t>
      </w:r>
    </w:p>
    <w:p w14:paraId="386572CE" w14:textId="77777777" w:rsidR="00133124" w:rsidRPr="00C92054" w:rsidRDefault="00133124" w:rsidP="00C92054">
      <w:pPr>
        <w:rPr>
          <w:b/>
          <w:bCs/>
          <w:sz w:val="20"/>
          <w:szCs w:val="20"/>
        </w:rPr>
      </w:pPr>
    </w:p>
    <w:p w14:paraId="5DDE7985" w14:textId="26F226F3" w:rsidR="00C92054" w:rsidRDefault="00C92054" w:rsidP="00C92054">
      <w:pPr>
        <w:rPr>
          <w:b/>
          <w:bCs/>
          <w:sz w:val="20"/>
          <w:szCs w:val="20"/>
        </w:rPr>
      </w:pPr>
      <w:r w:rsidRPr="00C92054">
        <w:rPr>
          <w:b/>
          <w:bCs/>
          <w:sz w:val="20"/>
          <w:szCs w:val="20"/>
        </w:rPr>
        <w:t>16.9 If additional hydrants are required, these should be provided for buildings provided with fire mains – within 90m of dry fire main inlets and/or buildings not provided with fire mains – hydrants should within 90m of an entrance to the building and be a maximum of 90m apart</w:t>
      </w:r>
      <w:r w:rsidR="00133124">
        <w:rPr>
          <w:b/>
          <w:bCs/>
          <w:sz w:val="20"/>
          <w:szCs w:val="20"/>
        </w:rPr>
        <w:t>.</w:t>
      </w:r>
    </w:p>
    <w:p w14:paraId="7B4C1378" w14:textId="77777777" w:rsidR="00133124" w:rsidRPr="00C92054" w:rsidRDefault="00133124" w:rsidP="00C92054">
      <w:pPr>
        <w:rPr>
          <w:b/>
          <w:bCs/>
          <w:sz w:val="20"/>
          <w:szCs w:val="20"/>
        </w:rPr>
      </w:pPr>
    </w:p>
    <w:p w14:paraId="3AE8CC84" w14:textId="77777777" w:rsidR="00C92054" w:rsidRDefault="00C92054" w:rsidP="00C92054">
      <w:pPr>
        <w:rPr>
          <w:b/>
          <w:bCs/>
          <w:sz w:val="20"/>
          <w:szCs w:val="20"/>
        </w:rPr>
      </w:pPr>
      <w:r w:rsidRPr="00C92054">
        <w:rPr>
          <w:b/>
          <w:bCs/>
          <w:sz w:val="20"/>
          <w:szCs w:val="20"/>
        </w:rPr>
        <w:t xml:space="preserve">16.10 Each fire hydrant should be clearly indicated by a plate, fixed nearby in a conspicuous position, in accordance with BS 3251. 16.11 Guidance on aspects of provision and siting of private fire hydrants is given in BS 9990. </w:t>
      </w:r>
    </w:p>
    <w:p w14:paraId="35E62D0B" w14:textId="77777777" w:rsidR="00133124" w:rsidRPr="00C92054" w:rsidRDefault="00133124" w:rsidP="00C92054">
      <w:pPr>
        <w:rPr>
          <w:b/>
          <w:bCs/>
          <w:sz w:val="20"/>
          <w:szCs w:val="20"/>
        </w:rPr>
      </w:pPr>
    </w:p>
    <w:p w14:paraId="0FFABEB2" w14:textId="77777777" w:rsidR="00C92054" w:rsidRDefault="00C92054" w:rsidP="00C92054">
      <w:pPr>
        <w:rPr>
          <w:b/>
          <w:bCs/>
          <w:sz w:val="20"/>
          <w:szCs w:val="20"/>
        </w:rPr>
      </w:pPr>
      <w:r w:rsidRPr="00C92054">
        <w:rPr>
          <w:b/>
          <w:bCs/>
          <w:sz w:val="20"/>
          <w:szCs w:val="20"/>
        </w:rPr>
        <w:t xml:space="preserve">Water Supplies  </w:t>
      </w:r>
    </w:p>
    <w:p w14:paraId="6B6B2DD5" w14:textId="77777777" w:rsidR="00133124" w:rsidRPr="00C92054" w:rsidRDefault="00133124" w:rsidP="00C92054">
      <w:pPr>
        <w:rPr>
          <w:b/>
          <w:bCs/>
          <w:sz w:val="20"/>
          <w:szCs w:val="20"/>
        </w:rPr>
      </w:pPr>
    </w:p>
    <w:p w14:paraId="217264DE" w14:textId="77777777" w:rsidR="00C92054" w:rsidRDefault="00C92054" w:rsidP="00C92054">
      <w:pPr>
        <w:rPr>
          <w:b/>
          <w:bCs/>
          <w:sz w:val="20"/>
          <w:szCs w:val="20"/>
        </w:rPr>
      </w:pPr>
      <w:r w:rsidRPr="00C92054">
        <w:rPr>
          <w:b/>
          <w:bCs/>
          <w:sz w:val="20"/>
          <w:szCs w:val="20"/>
        </w:rPr>
        <w:t xml:space="preserve">Water supplies for firefighting should be in accordance with ADB Vol 2, Sec 16 and “National Guidance Document on the Provision for Fire Fighting” published by Local Government Association and Water UK:   </w:t>
      </w:r>
    </w:p>
    <w:p w14:paraId="2E098D39" w14:textId="77777777" w:rsidR="00133124" w:rsidRPr="00C92054" w:rsidRDefault="00133124" w:rsidP="00C92054">
      <w:pPr>
        <w:rPr>
          <w:b/>
          <w:bCs/>
          <w:sz w:val="20"/>
          <w:szCs w:val="20"/>
        </w:rPr>
      </w:pPr>
    </w:p>
    <w:p w14:paraId="3C9466F3" w14:textId="77777777" w:rsidR="00C92054" w:rsidRPr="00C92054" w:rsidRDefault="00C92054" w:rsidP="00C92054">
      <w:pPr>
        <w:rPr>
          <w:b/>
          <w:bCs/>
          <w:sz w:val="20"/>
          <w:szCs w:val="20"/>
        </w:rPr>
      </w:pPr>
      <w:r w:rsidRPr="00C92054">
        <w:rPr>
          <w:b/>
          <w:bCs/>
          <w:sz w:val="20"/>
          <w:szCs w:val="20"/>
        </w:rPr>
        <w:t>For further information please contact the WMFS Water Office or by email @ www.water.officer@wmfs.net</w:t>
      </w:r>
    </w:p>
    <w:p w14:paraId="002985C6" w14:textId="77777777" w:rsidR="00133124" w:rsidRDefault="00C92054" w:rsidP="00C92054">
      <w:pPr>
        <w:rPr>
          <w:b/>
          <w:bCs/>
          <w:sz w:val="20"/>
          <w:szCs w:val="20"/>
        </w:rPr>
      </w:pPr>
      <w:r w:rsidRPr="00C92054">
        <w:rPr>
          <w:b/>
          <w:bCs/>
          <w:sz w:val="20"/>
          <w:szCs w:val="20"/>
        </w:rPr>
        <w:t>The approval of Building Control will be required to Part B of the Building Regulations 2010</w:t>
      </w:r>
      <w:r w:rsidR="00133124">
        <w:rPr>
          <w:b/>
          <w:bCs/>
          <w:sz w:val="20"/>
          <w:szCs w:val="20"/>
        </w:rPr>
        <w:t>.</w:t>
      </w:r>
    </w:p>
    <w:p w14:paraId="243E4B00" w14:textId="00A62015" w:rsidR="00C92054" w:rsidRPr="00C92054" w:rsidRDefault="00C92054" w:rsidP="00C92054">
      <w:pPr>
        <w:rPr>
          <w:b/>
          <w:bCs/>
          <w:sz w:val="20"/>
          <w:szCs w:val="20"/>
        </w:rPr>
      </w:pPr>
      <w:r w:rsidRPr="00C92054">
        <w:rPr>
          <w:b/>
          <w:bCs/>
          <w:sz w:val="20"/>
          <w:szCs w:val="20"/>
        </w:rPr>
        <w:t xml:space="preserve">   </w:t>
      </w:r>
    </w:p>
    <w:p w14:paraId="04D006DC" w14:textId="77777777" w:rsidR="00C92054" w:rsidRDefault="00C92054" w:rsidP="00C92054">
      <w:pPr>
        <w:rPr>
          <w:b/>
          <w:bCs/>
          <w:sz w:val="20"/>
          <w:szCs w:val="20"/>
        </w:rPr>
      </w:pPr>
      <w:r w:rsidRPr="00C92054">
        <w:rPr>
          <w:b/>
          <w:bCs/>
          <w:sz w:val="20"/>
          <w:szCs w:val="20"/>
        </w:rPr>
        <w:t xml:space="preserve">Early liaison should be held with this authority in relation to fixed firefighting facilities, early fire suppression and access (ADB Vol 2, Section 8)   </w:t>
      </w:r>
    </w:p>
    <w:p w14:paraId="47EA4173" w14:textId="77777777" w:rsidR="0073108B" w:rsidRPr="00C92054" w:rsidRDefault="0073108B" w:rsidP="00C92054">
      <w:pPr>
        <w:rPr>
          <w:b/>
          <w:bCs/>
          <w:sz w:val="20"/>
          <w:szCs w:val="20"/>
        </w:rPr>
      </w:pPr>
    </w:p>
    <w:p w14:paraId="3BA3E0D1" w14:textId="77777777" w:rsidR="00C92054" w:rsidRPr="00C92054" w:rsidRDefault="00C92054" w:rsidP="00C92054">
      <w:pPr>
        <w:rPr>
          <w:b/>
          <w:bCs/>
          <w:sz w:val="20"/>
          <w:szCs w:val="20"/>
        </w:rPr>
      </w:pPr>
      <w:r w:rsidRPr="00C92054">
        <w:rPr>
          <w:b/>
          <w:bCs/>
          <w:sz w:val="20"/>
          <w:szCs w:val="20"/>
        </w:rPr>
        <w:t>The external access provisions for a building should be planned to complement the internal access requirements for a fire attack plan. (CIBSE Guide E, Fire Safety Engineering 2010, p. 13-14)</w:t>
      </w:r>
    </w:p>
    <w:p w14:paraId="1095E00C" w14:textId="77777777" w:rsidR="00C92054" w:rsidRPr="00C92054" w:rsidRDefault="00C92054" w:rsidP="00C92054">
      <w:pPr>
        <w:rPr>
          <w:b/>
          <w:bCs/>
          <w:sz w:val="20"/>
          <w:szCs w:val="20"/>
        </w:rPr>
      </w:pPr>
    </w:p>
    <w:p w14:paraId="60C0DC63" w14:textId="77777777" w:rsidR="00C92054" w:rsidRPr="00C92054" w:rsidRDefault="00C92054" w:rsidP="00C92054">
      <w:pPr>
        <w:rPr>
          <w:b/>
          <w:bCs/>
          <w:sz w:val="20"/>
          <w:szCs w:val="20"/>
        </w:rPr>
      </w:pPr>
      <w:r w:rsidRPr="00C92054">
        <w:rPr>
          <w:b/>
          <w:bCs/>
          <w:sz w:val="20"/>
          <w:szCs w:val="20"/>
        </w:rPr>
        <w:t>Topics covered in Guide E: Fire safety engineering include:</w:t>
      </w:r>
    </w:p>
    <w:p w14:paraId="61D3AC5C" w14:textId="77777777" w:rsidR="00C92054" w:rsidRPr="00C92054" w:rsidRDefault="00C92054" w:rsidP="00C92054">
      <w:pPr>
        <w:rPr>
          <w:b/>
          <w:bCs/>
          <w:sz w:val="20"/>
          <w:szCs w:val="20"/>
        </w:rPr>
      </w:pPr>
      <w:r w:rsidRPr="00C92054">
        <w:rPr>
          <w:b/>
          <w:bCs/>
          <w:sz w:val="20"/>
          <w:szCs w:val="20"/>
        </w:rPr>
        <w:t>•</w:t>
      </w:r>
      <w:r w:rsidRPr="00C92054">
        <w:rPr>
          <w:b/>
          <w:bCs/>
          <w:sz w:val="20"/>
          <w:szCs w:val="20"/>
        </w:rPr>
        <w:tab/>
        <w:t>Legislation</w:t>
      </w:r>
    </w:p>
    <w:p w14:paraId="108842EE" w14:textId="77777777" w:rsidR="00C92054" w:rsidRPr="00C92054" w:rsidRDefault="00C92054" w:rsidP="00C92054">
      <w:pPr>
        <w:rPr>
          <w:b/>
          <w:bCs/>
          <w:sz w:val="20"/>
          <w:szCs w:val="20"/>
        </w:rPr>
      </w:pPr>
      <w:r w:rsidRPr="00C92054">
        <w:rPr>
          <w:b/>
          <w:bCs/>
          <w:sz w:val="20"/>
          <w:szCs w:val="20"/>
        </w:rPr>
        <w:t>•</w:t>
      </w:r>
      <w:r w:rsidRPr="00C92054">
        <w:rPr>
          <w:b/>
          <w:bCs/>
          <w:sz w:val="20"/>
          <w:szCs w:val="20"/>
        </w:rPr>
        <w:tab/>
        <w:t>Building designation</w:t>
      </w:r>
    </w:p>
    <w:p w14:paraId="567C6174" w14:textId="77777777" w:rsidR="00C92054" w:rsidRPr="00C92054" w:rsidRDefault="00C92054" w:rsidP="00C92054">
      <w:pPr>
        <w:rPr>
          <w:b/>
          <w:bCs/>
          <w:sz w:val="20"/>
          <w:szCs w:val="20"/>
        </w:rPr>
      </w:pPr>
      <w:r w:rsidRPr="00C92054">
        <w:rPr>
          <w:b/>
          <w:bCs/>
          <w:sz w:val="20"/>
          <w:szCs w:val="20"/>
        </w:rPr>
        <w:t>•</w:t>
      </w:r>
      <w:r w:rsidRPr="00C92054">
        <w:rPr>
          <w:b/>
          <w:bCs/>
          <w:sz w:val="20"/>
          <w:szCs w:val="20"/>
        </w:rPr>
        <w:tab/>
        <w:t>Performance-based design principles</w:t>
      </w:r>
    </w:p>
    <w:p w14:paraId="7CB3736E" w14:textId="77777777" w:rsidR="00C92054" w:rsidRPr="00C92054" w:rsidRDefault="00C92054" w:rsidP="00C92054">
      <w:pPr>
        <w:rPr>
          <w:b/>
          <w:bCs/>
          <w:sz w:val="20"/>
          <w:szCs w:val="20"/>
        </w:rPr>
      </w:pPr>
      <w:r w:rsidRPr="00C92054">
        <w:rPr>
          <w:b/>
          <w:bCs/>
          <w:sz w:val="20"/>
          <w:szCs w:val="20"/>
        </w:rPr>
        <w:t>•</w:t>
      </w:r>
      <w:r w:rsidRPr="00C92054">
        <w:rPr>
          <w:b/>
          <w:bCs/>
          <w:sz w:val="20"/>
          <w:szCs w:val="20"/>
        </w:rPr>
        <w:tab/>
        <w:t>Application of risk assessment to fire engineering designs</w:t>
      </w:r>
    </w:p>
    <w:p w14:paraId="0B60506E" w14:textId="77777777" w:rsidR="00C92054" w:rsidRPr="00C92054" w:rsidRDefault="00C92054" w:rsidP="00C92054">
      <w:pPr>
        <w:rPr>
          <w:b/>
          <w:bCs/>
          <w:sz w:val="20"/>
          <w:szCs w:val="20"/>
        </w:rPr>
      </w:pPr>
      <w:r w:rsidRPr="00C92054">
        <w:rPr>
          <w:b/>
          <w:bCs/>
          <w:sz w:val="20"/>
          <w:szCs w:val="20"/>
        </w:rPr>
        <w:t>•</w:t>
      </w:r>
      <w:r w:rsidRPr="00C92054">
        <w:rPr>
          <w:b/>
          <w:bCs/>
          <w:sz w:val="20"/>
          <w:szCs w:val="20"/>
        </w:rPr>
        <w:tab/>
        <w:t>Fire dynamics</w:t>
      </w:r>
    </w:p>
    <w:p w14:paraId="08FA3D0B" w14:textId="77777777" w:rsidR="00C92054" w:rsidRPr="00C92054" w:rsidRDefault="00C92054" w:rsidP="00C92054">
      <w:pPr>
        <w:rPr>
          <w:b/>
          <w:bCs/>
          <w:sz w:val="20"/>
          <w:szCs w:val="20"/>
        </w:rPr>
      </w:pPr>
      <w:r w:rsidRPr="00C92054">
        <w:rPr>
          <w:b/>
          <w:bCs/>
          <w:sz w:val="20"/>
          <w:szCs w:val="20"/>
        </w:rPr>
        <w:t>•</w:t>
      </w:r>
      <w:r w:rsidRPr="00C92054">
        <w:rPr>
          <w:b/>
          <w:bCs/>
          <w:sz w:val="20"/>
          <w:szCs w:val="20"/>
        </w:rPr>
        <w:tab/>
        <w:t>Means of escape and human factors</w:t>
      </w:r>
    </w:p>
    <w:p w14:paraId="03048180" w14:textId="77777777" w:rsidR="00C92054" w:rsidRPr="00C92054" w:rsidRDefault="00C92054" w:rsidP="00C92054">
      <w:pPr>
        <w:rPr>
          <w:b/>
          <w:bCs/>
          <w:sz w:val="20"/>
          <w:szCs w:val="20"/>
        </w:rPr>
      </w:pPr>
      <w:r w:rsidRPr="00C92054">
        <w:rPr>
          <w:b/>
          <w:bCs/>
          <w:sz w:val="20"/>
          <w:szCs w:val="20"/>
        </w:rPr>
        <w:t>•</w:t>
      </w:r>
      <w:r w:rsidRPr="00C92054">
        <w:rPr>
          <w:b/>
          <w:bCs/>
          <w:sz w:val="20"/>
          <w:szCs w:val="20"/>
        </w:rPr>
        <w:tab/>
        <w:t>Fire detection and alarm</w:t>
      </w:r>
    </w:p>
    <w:p w14:paraId="5EE8CF4F" w14:textId="77777777" w:rsidR="00C92054" w:rsidRPr="00C92054" w:rsidRDefault="00C92054" w:rsidP="00C92054">
      <w:pPr>
        <w:rPr>
          <w:b/>
          <w:bCs/>
          <w:sz w:val="20"/>
          <w:szCs w:val="20"/>
        </w:rPr>
      </w:pPr>
      <w:r w:rsidRPr="00C92054">
        <w:rPr>
          <w:b/>
          <w:bCs/>
          <w:sz w:val="20"/>
          <w:szCs w:val="20"/>
        </w:rPr>
        <w:t>•</w:t>
      </w:r>
      <w:r w:rsidRPr="00C92054">
        <w:rPr>
          <w:b/>
          <w:bCs/>
          <w:sz w:val="20"/>
          <w:szCs w:val="20"/>
        </w:rPr>
        <w:tab/>
        <w:t>Emergency lighting</w:t>
      </w:r>
    </w:p>
    <w:p w14:paraId="2465F24E" w14:textId="77777777" w:rsidR="00C92054" w:rsidRPr="00C92054" w:rsidRDefault="00C92054" w:rsidP="00C92054">
      <w:pPr>
        <w:rPr>
          <w:b/>
          <w:bCs/>
          <w:sz w:val="20"/>
          <w:szCs w:val="20"/>
        </w:rPr>
      </w:pPr>
      <w:r w:rsidRPr="00C92054">
        <w:rPr>
          <w:b/>
          <w:bCs/>
          <w:sz w:val="20"/>
          <w:szCs w:val="20"/>
        </w:rPr>
        <w:t>•</w:t>
      </w:r>
      <w:r w:rsidRPr="00C92054">
        <w:rPr>
          <w:b/>
          <w:bCs/>
          <w:sz w:val="20"/>
          <w:szCs w:val="20"/>
        </w:rPr>
        <w:tab/>
        <w:t>Smoke ventilation</w:t>
      </w:r>
    </w:p>
    <w:p w14:paraId="760D5454" w14:textId="77777777" w:rsidR="00C92054" w:rsidRPr="00C92054" w:rsidRDefault="00C92054" w:rsidP="00C92054">
      <w:pPr>
        <w:rPr>
          <w:b/>
          <w:bCs/>
          <w:sz w:val="20"/>
          <w:szCs w:val="20"/>
        </w:rPr>
      </w:pPr>
      <w:r w:rsidRPr="00C92054">
        <w:rPr>
          <w:b/>
          <w:bCs/>
          <w:sz w:val="20"/>
          <w:szCs w:val="20"/>
        </w:rPr>
        <w:t>•</w:t>
      </w:r>
      <w:r w:rsidRPr="00C92054">
        <w:rPr>
          <w:b/>
          <w:bCs/>
          <w:sz w:val="20"/>
          <w:szCs w:val="20"/>
        </w:rPr>
        <w:tab/>
        <w:t>Fire suppression</w:t>
      </w:r>
    </w:p>
    <w:p w14:paraId="78690AFB" w14:textId="77777777" w:rsidR="00C92054" w:rsidRPr="00C92054" w:rsidRDefault="00C92054" w:rsidP="00C92054">
      <w:pPr>
        <w:rPr>
          <w:b/>
          <w:bCs/>
          <w:sz w:val="20"/>
          <w:szCs w:val="20"/>
        </w:rPr>
      </w:pPr>
      <w:r w:rsidRPr="00C92054">
        <w:rPr>
          <w:b/>
          <w:bCs/>
          <w:sz w:val="20"/>
          <w:szCs w:val="20"/>
        </w:rPr>
        <w:t>•</w:t>
      </w:r>
      <w:r w:rsidRPr="00C92054">
        <w:rPr>
          <w:b/>
          <w:bCs/>
          <w:sz w:val="20"/>
          <w:szCs w:val="20"/>
        </w:rPr>
        <w:tab/>
        <w:t>Fire resistance, structural robustness in fire and fire spread</w:t>
      </w:r>
    </w:p>
    <w:p w14:paraId="70D731BF" w14:textId="77777777" w:rsidR="00C92054" w:rsidRPr="00C92054" w:rsidRDefault="00C92054" w:rsidP="00C92054">
      <w:pPr>
        <w:rPr>
          <w:b/>
          <w:bCs/>
          <w:sz w:val="20"/>
          <w:szCs w:val="20"/>
        </w:rPr>
      </w:pPr>
      <w:r w:rsidRPr="00C92054">
        <w:rPr>
          <w:b/>
          <w:bCs/>
          <w:sz w:val="20"/>
          <w:szCs w:val="20"/>
        </w:rPr>
        <w:t>•</w:t>
      </w:r>
      <w:r w:rsidRPr="00C92054">
        <w:rPr>
          <w:b/>
          <w:bCs/>
          <w:sz w:val="20"/>
          <w:szCs w:val="20"/>
        </w:rPr>
        <w:tab/>
        <w:t>Firefighting</w:t>
      </w:r>
    </w:p>
    <w:p w14:paraId="0A9C6241" w14:textId="77777777" w:rsidR="00C92054" w:rsidRPr="00C92054" w:rsidRDefault="00C92054" w:rsidP="00C92054">
      <w:pPr>
        <w:rPr>
          <w:b/>
          <w:bCs/>
          <w:sz w:val="20"/>
          <w:szCs w:val="20"/>
        </w:rPr>
      </w:pPr>
      <w:r w:rsidRPr="00C92054">
        <w:rPr>
          <w:b/>
          <w:bCs/>
          <w:sz w:val="20"/>
          <w:szCs w:val="20"/>
        </w:rPr>
        <w:t>•</w:t>
      </w:r>
      <w:r w:rsidRPr="00C92054">
        <w:rPr>
          <w:b/>
          <w:bCs/>
          <w:sz w:val="20"/>
          <w:szCs w:val="20"/>
        </w:rPr>
        <w:tab/>
        <w:t>Fire safety management</w:t>
      </w:r>
    </w:p>
    <w:p w14:paraId="2C720073" w14:textId="77777777" w:rsidR="00C92054" w:rsidRPr="00C92054" w:rsidRDefault="00C92054" w:rsidP="00C92054">
      <w:pPr>
        <w:rPr>
          <w:b/>
          <w:bCs/>
          <w:sz w:val="20"/>
          <w:szCs w:val="20"/>
        </w:rPr>
      </w:pPr>
      <w:r w:rsidRPr="00C92054">
        <w:rPr>
          <w:b/>
          <w:bCs/>
          <w:sz w:val="20"/>
          <w:szCs w:val="20"/>
        </w:rPr>
        <w:t>•</w:t>
      </w:r>
      <w:r w:rsidRPr="00C92054">
        <w:rPr>
          <w:b/>
          <w:bCs/>
          <w:sz w:val="20"/>
          <w:szCs w:val="20"/>
        </w:rPr>
        <w:tab/>
        <w:t>Fire safety on construction sites</w:t>
      </w:r>
    </w:p>
    <w:p w14:paraId="2C881565" w14:textId="77777777" w:rsidR="00C92054" w:rsidRPr="00C92054" w:rsidRDefault="00C92054" w:rsidP="00C92054">
      <w:pPr>
        <w:rPr>
          <w:b/>
          <w:bCs/>
          <w:sz w:val="20"/>
          <w:szCs w:val="20"/>
        </w:rPr>
      </w:pPr>
      <w:r w:rsidRPr="00C92054">
        <w:rPr>
          <w:b/>
          <w:bCs/>
          <w:sz w:val="20"/>
          <w:szCs w:val="20"/>
        </w:rPr>
        <w:t>•</w:t>
      </w:r>
      <w:r w:rsidRPr="00C92054">
        <w:rPr>
          <w:b/>
          <w:bCs/>
          <w:sz w:val="20"/>
          <w:szCs w:val="20"/>
        </w:rPr>
        <w:tab/>
        <w:t xml:space="preserve">Fire safety of building facades </w:t>
      </w:r>
    </w:p>
    <w:p w14:paraId="40B634DD" w14:textId="77777777" w:rsidR="00B202D6" w:rsidRDefault="00B202D6" w:rsidP="003666DB">
      <w:pPr>
        <w:rPr>
          <w:b/>
          <w:bCs/>
          <w:sz w:val="20"/>
          <w:szCs w:val="20"/>
        </w:rPr>
      </w:pPr>
    </w:p>
    <w:p w14:paraId="328EDE06" w14:textId="67E2DB44" w:rsidR="00EB4C98" w:rsidRPr="00EB4C98" w:rsidRDefault="00EB4C98" w:rsidP="00EB4C98">
      <w:pPr>
        <w:rPr>
          <w:b/>
          <w:bCs/>
          <w:sz w:val="20"/>
          <w:szCs w:val="20"/>
        </w:rPr>
      </w:pPr>
    </w:p>
    <w:p w14:paraId="766E85BB" w14:textId="7D3D327F" w:rsidR="00013B02" w:rsidRPr="008E7695" w:rsidRDefault="00013B02" w:rsidP="00013B02">
      <w:pPr>
        <w:rPr>
          <w:b/>
          <w:bCs/>
          <w:sz w:val="22"/>
          <w:szCs w:val="22"/>
        </w:rPr>
      </w:pPr>
      <w:r w:rsidRPr="008E7695">
        <w:rPr>
          <w:b/>
          <w:bCs/>
          <w:sz w:val="22"/>
          <w:szCs w:val="22"/>
        </w:rPr>
        <w:t xml:space="preserve">Steve Dilloway BAFE SP205 </w:t>
      </w:r>
      <w:r w:rsidR="00D5552C" w:rsidRPr="008E7695">
        <w:rPr>
          <w:b/>
          <w:bCs/>
          <w:sz w:val="22"/>
          <w:szCs w:val="22"/>
        </w:rPr>
        <w:t>C</w:t>
      </w:r>
      <w:r w:rsidRPr="008E7695">
        <w:rPr>
          <w:b/>
          <w:bCs/>
          <w:sz w:val="22"/>
          <w:szCs w:val="22"/>
        </w:rPr>
        <w:t xml:space="preserve">ertified </w:t>
      </w:r>
      <w:r w:rsidR="00D5552C" w:rsidRPr="008E7695">
        <w:rPr>
          <w:b/>
          <w:bCs/>
          <w:sz w:val="22"/>
          <w:szCs w:val="22"/>
        </w:rPr>
        <w:t>R</w:t>
      </w:r>
      <w:r w:rsidRPr="008E7695">
        <w:rPr>
          <w:b/>
          <w:bCs/>
          <w:sz w:val="22"/>
          <w:szCs w:val="22"/>
        </w:rPr>
        <w:t xml:space="preserve">isk </w:t>
      </w:r>
      <w:r w:rsidR="00D5552C" w:rsidRPr="008E7695">
        <w:rPr>
          <w:b/>
          <w:bCs/>
          <w:sz w:val="22"/>
          <w:szCs w:val="22"/>
        </w:rPr>
        <w:t>A</w:t>
      </w:r>
      <w:r w:rsidRPr="008E7695">
        <w:rPr>
          <w:b/>
          <w:bCs/>
          <w:sz w:val="22"/>
          <w:szCs w:val="22"/>
        </w:rPr>
        <w:t>ssessor</w:t>
      </w:r>
      <w:r w:rsidR="00152B5D" w:rsidRPr="008E7695">
        <w:rPr>
          <w:b/>
          <w:bCs/>
          <w:sz w:val="22"/>
          <w:szCs w:val="22"/>
        </w:rPr>
        <w:t xml:space="preserve"> ID 302298</w:t>
      </w:r>
    </w:p>
    <w:p w14:paraId="090D3FB0" w14:textId="77777777" w:rsidR="00013B02" w:rsidRPr="008E7695" w:rsidRDefault="00013B02" w:rsidP="00013B02">
      <w:pPr>
        <w:rPr>
          <w:sz w:val="22"/>
          <w:szCs w:val="22"/>
        </w:rPr>
      </w:pPr>
      <w:r w:rsidRPr="008E7695">
        <w:rPr>
          <w:sz w:val="22"/>
          <w:szCs w:val="22"/>
        </w:rPr>
        <w:t xml:space="preserve"> </w:t>
      </w:r>
    </w:p>
    <w:p w14:paraId="5C50F404" w14:textId="77777777" w:rsidR="00013B02" w:rsidRPr="008E7695" w:rsidRDefault="00013B02" w:rsidP="00013B02">
      <w:pPr>
        <w:rPr>
          <w:sz w:val="22"/>
          <w:szCs w:val="22"/>
        </w:rPr>
      </w:pPr>
    </w:p>
    <w:p w14:paraId="28AE1652" w14:textId="77777777" w:rsidR="00013B02" w:rsidRPr="008E7695" w:rsidRDefault="00013B02" w:rsidP="00013B02">
      <w:pPr>
        <w:rPr>
          <w:sz w:val="22"/>
          <w:szCs w:val="22"/>
        </w:rPr>
      </w:pPr>
    </w:p>
    <w:p w14:paraId="399B0B9A" w14:textId="77777777" w:rsidR="00013B02" w:rsidRPr="008E7695" w:rsidRDefault="00013B02">
      <w:pPr>
        <w:rPr>
          <w:sz w:val="22"/>
          <w:szCs w:val="22"/>
        </w:rPr>
      </w:pPr>
    </w:p>
    <w:sectPr w:rsidR="00013B02" w:rsidRPr="008E7695" w:rsidSect="00627F29">
      <w:headerReference w:type="default" r:id="rId9"/>
      <w:footerReference w:type="even" r:id="rId10"/>
      <w:footerReference w:type="default" r:id="rId11"/>
      <w:headerReference w:type="first" r:id="rId12"/>
      <w:footerReference w:type="first" r:id="rId13"/>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E45D" w14:textId="77777777" w:rsidR="00AE3005" w:rsidRDefault="00AE3005" w:rsidP="00AD65CD">
      <w:r>
        <w:separator/>
      </w:r>
    </w:p>
  </w:endnote>
  <w:endnote w:type="continuationSeparator" w:id="0">
    <w:p w14:paraId="18E013F8" w14:textId="77777777" w:rsidR="00AE3005" w:rsidRDefault="00AE3005"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11500"/>
      <w:docPartObj>
        <w:docPartGallery w:val="Page Numbers (Bottom of Page)"/>
        <w:docPartUnique/>
      </w:docPartObj>
    </w:sdtPr>
    <w:sdtEndPr>
      <w:rPr>
        <w:noProof/>
      </w:rPr>
    </w:sdtEndPr>
    <w:sdtContent>
      <w:p w14:paraId="252B8735" w14:textId="5F6FFF9C" w:rsidR="002F42E9" w:rsidRDefault="002F42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644F" w14:textId="77777777" w:rsidR="00AE3005" w:rsidRDefault="00AE3005" w:rsidP="00AD65CD">
      <w:r>
        <w:separator/>
      </w:r>
    </w:p>
  </w:footnote>
  <w:footnote w:type="continuationSeparator" w:id="0">
    <w:p w14:paraId="720B1F6D" w14:textId="77777777" w:rsidR="00AE3005" w:rsidRDefault="00AE3005"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07EC8"/>
    <w:multiLevelType w:val="hybridMultilevel"/>
    <w:tmpl w:val="D7964CDE"/>
    <w:lvl w:ilvl="0" w:tplc="7102CF2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A243B"/>
    <w:multiLevelType w:val="hybridMultilevel"/>
    <w:tmpl w:val="9FAAE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02300"/>
    <w:multiLevelType w:val="hybridMultilevel"/>
    <w:tmpl w:val="C0949404"/>
    <w:lvl w:ilvl="0" w:tplc="2CFAED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61DB2"/>
    <w:multiLevelType w:val="hybridMultilevel"/>
    <w:tmpl w:val="2BDE3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870CA"/>
    <w:multiLevelType w:val="hybridMultilevel"/>
    <w:tmpl w:val="C548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CC5307"/>
    <w:multiLevelType w:val="hybridMultilevel"/>
    <w:tmpl w:val="527A8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DF1BA9"/>
    <w:multiLevelType w:val="hybridMultilevel"/>
    <w:tmpl w:val="4C7A50C4"/>
    <w:lvl w:ilvl="0" w:tplc="90A23F22">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615482">
    <w:abstractNumId w:val="1"/>
  </w:num>
  <w:num w:numId="2" w16cid:durableId="1936279704">
    <w:abstractNumId w:val="9"/>
  </w:num>
  <w:num w:numId="3" w16cid:durableId="1083723914">
    <w:abstractNumId w:val="0"/>
  </w:num>
  <w:num w:numId="4" w16cid:durableId="632488344">
    <w:abstractNumId w:val="17"/>
  </w:num>
  <w:num w:numId="5" w16cid:durableId="504126493">
    <w:abstractNumId w:val="8"/>
  </w:num>
  <w:num w:numId="6" w16cid:durableId="1492479406">
    <w:abstractNumId w:val="6"/>
  </w:num>
  <w:num w:numId="7" w16cid:durableId="112484645">
    <w:abstractNumId w:val="7"/>
  </w:num>
  <w:num w:numId="8" w16cid:durableId="1503857298">
    <w:abstractNumId w:val="2"/>
  </w:num>
  <w:num w:numId="9" w16cid:durableId="813259667">
    <w:abstractNumId w:val="12"/>
  </w:num>
  <w:num w:numId="10" w16cid:durableId="1789857396">
    <w:abstractNumId w:val="18"/>
  </w:num>
  <w:num w:numId="11" w16cid:durableId="1772159603">
    <w:abstractNumId w:val="10"/>
  </w:num>
  <w:num w:numId="12" w16cid:durableId="1436632145">
    <w:abstractNumId w:val="4"/>
  </w:num>
  <w:num w:numId="13" w16cid:durableId="1861426352">
    <w:abstractNumId w:val="16"/>
  </w:num>
  <w:num w:numId="14" w16cid:durableId="1199275440">
    <w:abstractNumId w:val="15"/>
  </w:num>
  <w:num w:numId="15" w16cid:durableId="638150970">
    <w:abstractNumId w:val="11"/>
  </w:num>
  <w:num w:numId="16" w16cid:durableId="454720470">
    <w:abstractNumId w:val="13"/>
  </w:num>
  <w:num w:numId="17" w16cid:durableId="1947224684">
    <w:abstractNumId w:val="5"/>
  </w:num>
  <w:num w:numId="18" w16cid:durableId="1089035124">
    <w:abstractNumId w:val="3"/>
  </w:num>
  <w:num w:numId="19" w16cid:durableId="1246186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01C07"/>
    <w:rsid w:val="000079FA"/>
    <w:rsid w:val="00013B02"/>
    <w:rsid w:val="00021B72"/>
    <w:rsid w:val="00023507"/>
    <w:rsid w:val="00024C74"/>
    <w:rsid w:val="0002597F"/>
    <w:rsid w:val="000259BD"/>
    <w:rsid w:val="00025AC0"/>
    <w:rsid w:val="000326EC"/>
    <w:rsid w:val="00033418"/>
    <w:rsid w:val="000347FE"/>
    <w:rsid w:val="000359D2"/>
    <w:rsid w:val="00043C62"/>
    <w:rsid w:val="00047324"/>
    <w:rsid w:val="00050078"/>
    <w:rsid w:val="00050A4A"/>
    <w:rsid w:val="000514CB"/>
    <w:rsid w:val="000520C6"/>
    <w:rsid w:val="00060298"/>
    <w:rsid w:val="00065F84"/>
    <w:rsid w:val="00066039"/>
    <w:rsid w:val="00076609"/>
    <w:rsid w:val="000779CF"/>
    <w:rsid w:val="000829E8"/>
    <w:rsid w:val="00085072"/>
    <w:rsid w:val="00086486"/>
    <w:rsid w:val="000870F2"/>
    <w:rsid w:val="00091A99"/>
    <w:rsid w:val="00094CDD"/>
    <w:rsid w:val="000964C4"/>
    <w:rsid w:val="000A1719"/>
    <w:rsid w:val="000A599C"/>
    <w:rsid w:val="000A63D3"/>
    <w:rsid w:val="000B0A9D"/>
    <w:rsid w:val="000B1DA0"/>
    <w:rsid w:val="000B351E"/>
    <w:rsid w:val="000B4C0F"/>
    <w:rsid w:val="000B522C"/>
    <w:rsid w:val="000B6612"/>
    <w:rsid w:val="000C2487"/>
    <w:rsid w:val="000C778A"/>
    <w:rsid w:val="000D4386"/>
    <w:rsid w:val="000D67CA"/>
    <w:rsid w:val="000D723A"/>
    <w:rsid w:val="000E07BF"/>
    <w:rsid w:val="000E2D44"/>
    <w:rsid w:val="000E49D2"/>
    <w:rsid w:val="000E59D3"/>
    <w:rsid w:val="000E769D"/>
    <w:rsid w:val="000F3A2F"/>
    <w:rsid w:val="000F51FA"/>
    <w:rsid w:val="00100F39"/>
    <w:rsid w:val="00101059"/>
    <w:rsid w:val="001105F9"/>
    <w:rsid w:val="00113D71"/>
    <w:rsid w:val="00114099"/>
    <w:rsid w:val="00114DA2"/>
    <w:rsid w:val="001166DD"/>
    <w:rsid w:val="001176B0"/>
    <w:rsid w:val="001224CE"/>
    <w:rsid w:val="00127CA3"/>
    <w:rsid w:val="00131001"/>
    <w:rsid w:val="00131DB5"/>
    <w:rsid w:val="00132680"/>
    <w:rsid w:val="00133124"/>
    <w:rsid w:val="0013335A"/>
    <w:rsid w:val="00133A7B"/>
    <w:rsid w:val="001348F7"/>
    <w:rsid w:val="0013496D"/>
    <w:rsid w:val="00134FEF"/>
    <w:rsid w:val="00140387"/>
    <w:rsid w:val="00141BAE"/>
    <w:rsid w:val="00141D94"/>
    <w:rsid w:val="0014481B"/>
    <w:rsid w:val="00144E20"/>
    <w:rsid w:val="00145531"/>
    <w:rsid w:val="00145966"/>
    <w:rsid w:val="00146841"/>
    <w:rsid w:val="00152B5D"/>
    <w:rsid w:val="00154321"/>
    <w:rsid w:val="001556F9"/>
    <w:rsid w:val="001579E4"/>
    <w:rsid w:val="00160A35"/>
    <w:rsid w:val="0016625E"/>
    <w:rsid w:val="0016667B"/>
    <w:rsid w:val="00167E38"/>
    <w:rsid w:val="00170CD6"/>
    <w:rsid w:val="00170D13"/>
    <w:rsid w:val="0017185F"/>
    <w:rsid w:val="001729BD"/>
    <w:rsid w:val="001742B7"/>
    <w:rsid w:val="00176F5F"/>
    <w:rsid w:val="001826DA"/>
    <w:rsid w:val="0019028E"/>
    <w:rsid w:val="00190C2B"/>
    <w:rsid w:val="00194463"/>
    <w:rsid w:val="00194710"/>
    <w:rsid w:val="001979C1"/>
    <w:rsid w:val="001A2782"/>
    <w:rsid w:val="001A3A6E"/>
    <w:rsid w:val="001A3E18"/>
    <w:rsid w:val="001A5044"/>
    <w:rsid w:val="001A66FE"/>
    <w:rsid w:val="001B1716"/>
    <w:rsid w:val="001B2D60"/>
    <w:rsid w:val="001B4B3D"/>
    <w:rsid w:val="001C0671"/>
    <w:rsid w:val="001C4416"/>
    <w:rsid w:val="001C62C7"/>
    <w:rsid w:val="001C6E2D"/>
    <w:rsid w:val="001C717D"/>
    <w:rsid w:val="001D2861"/>
    <w:rsid w:val="001D2B4E"/>
    <w:rsid w:val="001D58D4"/>
    <w:rsid w:val="001D7419"/>
    <w:rsid w:val="001E1C15"/>
    <w:rsid w:val="001E4E24"/>
    <w:rsid w:val="001E507C"/>
    <w:rsid w:val="001E5417"/>
    <w:rsid w:val="001F0105"/>
    <w:rsid w:val="001F077C"/>
    <w:rsid w:val="001F07CA"/>
    <w:rsid w:val="001F17AE"/>
    <w:rsid w:val="001F46E2"/>
    <w:rsid w:val="001F53D4"/>
    <w:rsid w:val="001F5747"/>
    <w:rsid w:val="001F5BAE"/>
    <w:rsid w:val="001F60E2"/>
    <w:rsid w:val="001F785B"/>
    <w:rsid w:val="00200ACC"/>
    <w:rsid w:val="00202A34"/>
    <w:rsid w:val="002031C2"/>
    <w:rsid w:val="00206BD8"/>
    <w:rsid w:val="00207E1E"/>
    <w:rsid w:val="002104EF"/>
    <w:rsid w:val="00213E7C"/>
    <w:rsid w:val="00214CE8"/>
    <w:rsid w:val="00221F47"/>
    <w:rsid w:val="00222ECE"/>
    <w:rsid w:val="00223999"/>
    <w:rsid w:val="002270C4"/>
    <w:rsid w:val="00230F25"/>
    <w:rsid w:val="00235534"/>
    <w:rsid w:val="0023659D"/>
    <w:rsid w:val="002417E4"/>
    <w:rsid w:val="00243F2D"/>
    <w:rsid w:val="00244290"/>
    <w:rsid w:val="002443B7"/>
    <w:rsid w:val="00245342"/>
    <w:rsid w:val="00245355"/>
    <w:rsid w:val="002523FE"/>
    <w:rsid w:val="00252566"/>
    <w:rsid w:val="00256601"/>
    <w:rsid w:val="00260B53"/>
    <w:rsid w:val="00260BCE"/>
    <w:rsid w:val="002614CE"/>
    <w:rsid w:val="00261AA8"/>
    <w:rsid w:val="00261F3A"/>
    <w:rsid w:val="00265389"/>
    <w:rsid w:val="002667B3"/>
    <w:rsid w:val="00270420"/>
    <w:rsid w:val="0027147E"/>
    <w:rsid w:val="00271DFC"/>
    <w:rsid w:val="00272370"/>
    <w:rsid w:val="0027246A"/>
    <w:rsid w:val="00274CEE"/>
    <w:rsid w:val="00277F9C"/>
    <w:rsid w:val="00277FFD"/>
    <w:rsid w:val="0028138B"/>
    <w:rsid w:val="00281E32"/>
    <w:rsid w:val="00283789"/>
    <w:rsid w:val="0028617F"/>
    <w:rsid w:val="0028693B"/>
    <w:rsid w:val="00295DC2"/>
    <w:rsid w:val="002A4E65"/>
    <w:rsid w:val="002A52C3"/>
    <w:rsid w:val="002A6BF5"/>
    <w:rsid w:val="002A6C7A"/>
    <w:rsid w:val="002A7368"/>
    <w:rsid w:val="002A7423"/>
    <w:rsid w:val="002A7831"/>
    <w:rsid w:val="002B12DB"/>
    <w:rsid w:val="002B2189"/>
    <w:rsid w:val="002B25C7"/>
    <w:rsid w:val="002B266B"/>
    <w:rsid w:val="002B267D"/>
    <w:rsid w:val="002B365C"/>
    <w:rsid w:val="002B58D5"/>
    <w:rsid w:val="002B5AFE"/>
    <w:rsid w:val="002B6371"/>
    <w:rsid w:val="002C2044"/>
    <w:rsid w:val="002C56A1"/>
    <w:rsid w:val="002C7F9D"/>
    <w:rsid w:val="002D2FAB"/>
    <w:rsid w:val="002D4407"/>
    <w:rsid w:val="002D44D4"/>
    <w:rsid w:val="002D4623"/>
    <w:rsid w:val="002D6BB1"/>
    <w:rsid w:val="002D7AA0"/>
    <w:rsid w:val="002E2606"/>
    <w:rsid w:val="002E4EDF"/>
    <w:rsid w:val="002E759D"/>
    <w:rsid w:val="002E7EC8"/>
    <w:rsid w:val="002F0A7D"/>
    <w:rsid w:val="002F3A64"/>
    <w:rsid w:val="002F42E9"/>
    <w:rsid w:val="002F5B48"/>
    <w:rsid w:val="002F5B75"/>
    <w:rsid w:val="002F5BFC"/>
    <w:rsid w:val="002F5D09"/>
    <w:rsid w:val="002F680A"/>
    <w:rsid w:val="0030207F"/>
    <w:rsid w:val="003030E2"/>
    <w:rsid w:val="00304ACE"/>
    <w:rsid w:val="00305017"/>
    <w:rsid w:val="00306F9C"/>
    <w:rsid w:val="00310D7F"/>
    <w:rsid w:val="00311EE1"/>
    <w:rsid w:val="003207F4"/>
    <w:rsid w:val="003209AF"/>
    <w:rsid w:val="0032112B"/>
    <w:rsid w:val="003236C7"/>
    <w:rsid w:val="0032423F"/>
    <w:rsid w:val="00324D35"/>
    <w:rsid w:val="00325F7F"/>
    <w:rsid w:val="00326388"/>
    <w:rsid w:val="00331F83"/>
    <w:rsid w:val="00335438"/>
    <w:rsid w:val="00335493"/>
    <w:rsid w:val="00335D6D"/>
    <w:rsid w:val="003360CE"/>
    <w:rsid w:val="00337BFF"/>
    <w:rsid w:val="00337E73"/>
    <w:rsid w:val="00343FD2"/>
    <w:rsid w:val="00345269"/>
    <w:rsid w:val="003453D1"/>
    <w:rsid w:val="00345AE4"/>
    <w:rsid w:val="00346887"/>
    <w:rsid w:val="00355397"/>
    <w:rsid w:val="00355CFF"/>
    <w:rsid w:val="003564D2"/>
    <w:rsid w:val="0035654E"/>
    <w:rsid w:val="0035770D"/>
    <w:rsid w:val="0036043C"/>
    <w:rsid w:val="00362A44"/>
    <w:rsid w:val="00363C76"/>
    <w:rsid w:val="00363E0B"/>
    <w:rsid w:val="003666DB"/>
    <w:rsid w:val="003677D6"/>
    <w:rsid w:val="0037081A"/>
    <w:rsid w:val="003716CA"/>
    <w:rsid w:val="0037540E"/>
    <w:rsid w:val="00375D35"/>
    <w:rsid w:val="00381D4B"/>
    <w:rsid w:val="00383F83"/>
    <w:rsid w:val="00384061"/>
    <w:rsid w:val="00386066"/>
    <w:rsid w:val="003867F8"/>
    <w:rsid w:val="0039180D"/>
    <w:rsid w:val="00397B01"/>
    <w:rsid w:val="003A0E64"/>
    <w:rsid w:val="003A223C"/>
    <w:rsid w:val="003A3979"/>
    <w:rsid w:val="003A701B"/>
    <w:rsid w:val="003B0D32"/>
    <w:rsid w:val="003B4B38"/>
    <w:rsid w:val="003B4F6D"/>
    <w:rsid w:val="003C017E"/>
    <w:rsid w:val="003C0754"/>
    <w:rsid w:val="003C0823"/>
    <w:rsid w:val="003C2E0C"/>
    <w:rsid w:val="003C2FCC"/>
    <w:rsid w:val="003C4A43"/>
    <w:rsid w:val="003C55B6"/>
    <w:rsid w:val="003C6BC8"/>
    <w:rsid w:val="003D01A6"/>
    <w:rsid w:val="003D1AE8"/>
    <w:rsid w:val="003D38C7"/>
    <w:rsid w:val="003D5311"/>
    <w:rsid w:val="003D7EFF"/>
    <w:rsid w:val="003E0AF3"/>
    <w:rsid w:val="003E0F7B"/>
    <w:rsid w:val="003E33C4"/>
    <w:rsid w:val="003E4147"/>
    <w:rsid w:val="003E5BCC"/>
    <w:rsid w:val="003F05C3"/>
    <w:rsid w:val="003F22B7"/>
    <w:rsid w:val="003F6255"/>
    <w:rsid w:val="003F7348"/>
    <w:rsid w:val="003F76C2"/>
    <w:rsid w:val="00403C23"/>
    <w:rsid w:val="00407E52"/>
    <w:rsid w:val="004145B0"/>
    <w:rsid w:val="004150CC"/>
    <w:rsid w:val="004172D2"/>
    <w:rsid w:val="00424577"/>
    <w:rsid w:val="00426021"/>
    <w:rsid w:val="0043056A"/>
    <w:rsid w:val="004325ED"/>
    <w:rsid w:val="00432C15"/>
    <w:rsid w:val="004337E5"/>
    <w:rsid w:val="00436838"/>
    <w:rsid w:val="00437581"/>
    <w:rsid w:val="00440DC6"/>
    <w:rsid w:val="00446E70"/>
    <w:rsid w:val="00450902"/>
    <w:rsid w:val="00452F30"/>
    <w:rsid w:val="00455AE5"/>
    <w:rsid w:val="00455F0F"/>
    <w:rsid w:val="00461DE3"/>
    <w:rsid w:val="00462250"/>
    <w:rsid w:val="0046320C"/>
    <w:rsid w:val="004643A4"/>
    <w:rsid w:val="00470582"/>
    <w:rsid w:val="0047113B"/>
    <w:rsid w:val="00472693"/>
    <w:rsid w:val="004731FB"/>
    <w:rsid w:val="004752F0"/>
    <w:rsid w:val="00477E34"/>
    <w:rsid w:val="00481954"/>
    <w:rsid w:val="00483BE4"/>
    <w:rsid w:val="0048441C"/>
    <w:rsid w:val="0048596C"/>
    <w:rsid w:val="0048686E"/>
    <w:rsid w:val="00487590"/>
    <w:rsid w:val="004902AE"/>
    <w:rsid w:val="0049053F"/>
    <w:rsid w:val="00495511"/>
    <w:rsid w:val="0049581F"/>
    <w:rsid w:val="004A08FD"/>
    <w:rsid w:val="004A1311"/>
    <w:rsid w:val="004A1465"/>
    <w:rsid w:val="004B0428"/>
    <w:rsid w:val="004B0834"/>
    <w:rsid w:val="004B1B8C"/>
    <w:rsid w:val="004B1BDB"/>
    <w:rsid w:val="004B4214"/>
    <w:rsid w:val="004B4E00"/>
    <w:rsid w:val="004B7D99"/>
    <w:rsid w:val="004C25E2"/>
    <w:rsid w:val="004C633C"/>
    <w:rsid w:val="004C7F92"/>
    <w:rsid w:val="004D4F32"/>
    <w:rsid w:val="004D6111"/>
    <w:rsid w:val="004D69A0"/>
    <w:rsid w:val="004D6FBA"/>
    <w:rsid w:val="004E450A"/>
    <w:rsid w:val="004E51EB"/>
    <w:rsid w:val="004E7CC4"/>
    <w:rsid w:val="004E7CFB"/>
    <w:rsid w:val="004F1722"/>
    <w:rsid w:val="004F2AA1"/>
    <w:rsid w:val="004F637B"/>
    <w:rsid w:val="00500D35"/>
    <w:rsid w:val="005029C5"/>
    <w:rsid w:val="00503357"/>
    <w:rsid w:val="00505B8A"/>
    <w:rsid w:val="00510417"/>
    <w:rsid w:val="00510EF8"/>
    <w:rsid w:val="00511AFA"/>
    <w:rsid w:val="00516DD1"/>
    <w:rsid w:val="00517BB3"/>
    <w:rsid w:val="00521F40"/>
    <w:rsid w:val="0052201E"/>
    <w:rsid w:val="005223BE"/>
    <w:rsid w:val="00526151"/>
    <w:rsid w:val="00531113"/>
    <w:rsid w:val="005323C7"/>
    <w:rsid w:val="005339F9"/>
    <w:rsid w:val="00535D04"/>
    <w:rsid w:val="0053662C"/>
    <w:rsid w:val="005470B1"/>
    <w:rsid w:val="00555426"/>
    <w:rsid w:val="00561595"/>
    <w:rsid w:val="00562C27"/>
    <w:rsid w:val="00564865"/>
    <w:rsid w:val="0056631F"/>
    <w:rsid w:val="00574426"/>
    <w:rsid w:val="005835CD"/>
    <w:rsid w:val="0058486A"/>
    <w:rsid w:val="00584D03"/>
    <w:rsid w:val="00585B72"/>
    <w:rsid w:val="00586C25"/>
    <w:rsid w:val="0058745F"/>
    <w:rsid w:val="005946BA"/>
    <w:rsid w:val="005A5DF8"/>
    <w:rsid w:val="005A7393"/>
    <w:rsid w:val="005B2CEA"/>
    <w:rsid w:val="005B34B0"/>
    <w:rsid w:val="005B6D8E"/>
    <w:rsid w:val="005C259F"/>
    <w:rsid w:val="005D2D6E"/>
    <w:rsid w:val="005D336E"/>
    <w:rsid w:val="005D3F07"/>
    <w:rsid w:val="005D49BD"/>
    <w:rsid w:val="005D5A4B"/>
    <w:rsid w:val="005D7A3A"/>
    <w:rsid w:val="005E05F7"/>
    <w:rsid w:val="005E17A6"/>
    <w:rsid w:val="005E6677"/>
    <w:rsid w:val="005F5443"/>
    <w:rsid w:val="005F6101"/>
    <w:rsid w:val="00600056"/>
    <w:rsid w:val="006002DC"/>
    <w:rsid w:val="00600BB3"/>
    <w:rsid w:val="00602B8F"/>
    <w:rsid w:val="00603281"/>
    <w:rsid w:val="00606FEE"/>
    <w:rsid w:val="006104C1"/>
    <w:rsid w:val="00611917"/>
    <w:rsid w:val="0061438B"/>
    <w:rsid w:val="00615484"/>
    <w:rsid w:val="00615636"/>
    <w:rsid w:val="00615702"/>
    <w:rsid w:val="00620A8A"/>
    <w:rsid w:val="00620FF8"/>
    <w:rsid w:val="006247C0"/>
    <w:rsid w:val="00627F29"/>
    <w:rsid w:val="006308CE"/>
    <w:rsid w:val="0063145B"/>
    <w:rsid w:val="00632A0E"/>
    <w:rsid w:val="006332ED"/>
    <w:rsid w:val="00633376"/>
    <w:rsid w:val="006351C9"/>
    <w:rsid w:val="00635CB8"/>
    <w:rsid w:val="006401CB"/>
    <w:rsid w:val="00642A00"/>
    <w:rsid w:val="00643623"/>
    <w:rsid w:val="00644CB8"/>
    <w:rsid w:val="00646356"/>
    <w:rsid w:val="00650A82"/>
    <w:rsid w:val="00650FC0"/>
    <w:rsid w:val="006569EE"/>
    <w:rsid w:val="006616F9"/>
    <w:rsid w:val="0066649E"/>
    <w:rsid w:val="00666859"/>
    <w:rsid w:val="006672AB"/>
    <w:rsid w:val="00667402"/>
    <w:rsid w:val="00667C54"/>
    <w:rsid w:val="00671315"/>
    <w:rsid w:val="00671D77"/>
    <w:rsid w:val="00686070"/>
    <w:rsid w:val="00687A1F"/>
    <w:rsid w:val="00690422"/>
    <w:rsid w:val="006912B8"/>
    <w:rsid w:val="006922F9"/>
    <w:rsid w:val="006937AA"/>
    <w:rsid w:val="00696714"/>
    <w:rsid w:val="00697A93"/>
    <w:rsid w:val="006A1411"/>
    <w:rsid w:val="006A4262"/>
    <w:rsid w:val="006A6D9D"/>
    <w:rsid w:val="006A724C"/>
    <w:rsid w:val="006B407B"/>
    <w:rsid w:val="006B4A62"/>
    <w:rsid w:val="006B553E"/>
    <w:rsid w:val="006B6231"/>
    <w:rsid w:val="006C0089"/>
    <w:rsid w:val="006C08F0"/>
    <w:rsid w:val="006C39B4"/>
    <w:rsid w:val="006C69DB"/>
    <w:rsid w:val="006D2566"/>
    <w:rsid w:val="006D519B"/>
    <w:rsid w:val="006D69DF"/>
    <w:rsid w:val="006E1992"/>
    <w:rsid w:val="006E3B64"/>
    <w:rsid w:val="006E73C7"/>
    <w:rsid w:val="006F1309"/>
    <w:rsid w:val="006F1692"/>
    <w:rsid w:val="006F2405"/>
    <w:rsid w:val="006F5112"/>
    <w:rsid w:val="006F68BC"/>
    <w:rsid w:val="00702C87"/>
    <w:rsid w:val="00704775"/>
    <w:rsid w:val="00706162"/>
    <w:rsid w:val="00711FC4"/>
    <w:rsid w:val="0071483F"/>
    <w:rsid w:val="00714B01"/>
    <w:rsid w:val="00715798"/>
    <w:rsid w:val="0071591E"/>
    <w:rsid w:val="0071596D"/>
    <w:rsid w:val="00722D17"/>
    <w:rsid w:val="007232BD"/>
    <w:rsid w:val="007239B8"/>
    <w:rsid w:val="0073108B"/>
    <w:rsid w:val="00732CE4"/>
    <w:rsid w:val="007439B1"/>
    <w:rsid w:val="00745B5C"/>
    <w:rsid w:val="00746F7C"/>
    <w:rsid w:val="00750158"/>
    <w:rsid w:val="00754C81"/>
    <w:rsid w:val="00756D77"/>
    <w:rsid w:val="0076004D"/>
    <w:rsid w:val="0076447A"/>
    <w:rsid w:val="00770CFA"/>
    <w:rsid w:val="00773A80"/>
    <w:rsid w:val="007740A6"/>
    <w:rsid w:val="00774613"/>
    <w:rsid w:val="0077689F"/>
    <w:rsid w:val="00776F8B"/>
    <w:rsid w:val="007771ED"/>
    <w:rsid w:val="007810D0"/>
    <w:rsid w:val="00781844"/>
    <w:rsid w:val="00785440"/>
    <w:rsid w:val="0078766B"/>
    <w:rsid w:val="007902EA"/>
    <w:rsid w:val="00793AC8"/>
    <w:rsid w:val="00793E49"/>
    <w:rsid w:val="00794558"/>
    <w:rsid w:val="00794CD8"/>
    <w:rsid w:val="00794ED2"/>
    <w:rsid w:val="00797F8C"/>
    <w:rsid w:val="007A38FB"/>
    <w:rsid w:val="007B1BC6"/>
    <w:rsid w:val="007B1E41"/>
    <w:rsid w:val="007B4522"/>
    <w:rsid w:val="007B54DB"/>
    <w:rsid w:val="007C037D"/>
    <w:rsid w:val="007C1CF5"/>
    <w:rsid w:val="007C2362"/>
    <w:rsid w:val="007C3E70"/>
    <w:rsid w:val="007C40D4"/>
    <w:rsid w:val="007C4B48"/>
    <w:rsid w:val="007C4E19"/>
    <w:rsid w:val="007D18B2"/>
    <w:rsid w:val="007D2BFE"/>
    <w:rsid w:val="007D2F93"/>
    <w:rsid w:val="007D4401"/>
    <w:rsid w:val="007D54A2"/>
    <w:rsid w:val="007D57A4"/>
    <w:rsid w:val="007D5BE0"/>
    <w:rsid w:val="007D7C4F"/>
    <w:rsid w:val="007E16A5"/>
    <w:rsid w:val="007E1F43"/>
    <w:rsid w:val="007E2CAC"/>
    <w:rsid w:val="007E4126"/>
    <w:rsid w:val="007E4BDA"/>
    <w:rsid w:val="007E5C9F"/>
    <w:rsid w:val="007E5E94"/>
    <w:rsid w:val="007E6E54"/>
    <w:rsid w:val="007E6E59"/>
    <w:rsid w:val="007E7414"/>
    <w:rsid w:val="007E79E1"/>
    <w:rsid w:val="007E7CFC"/>
    <w:rsid w:val="007F0E65"/>
    <w:rsid w:val="007F127E"/>
    <w:rsid w:val="007F5A88"/>
    <w:rsid w:val="007F63E7"/>
    <w:rsid w:val="00800FA2"/>
    <w:rsid w:val="00806DAB"/>
    <w:rsid w:val="00810D5A"/>
    <w:rsid w:val="00810DA0"/>
    <w:rsid w:val="00816855"/>
    <w:rsid w:val="008205C7"/>
    <w:rsid w:val="00821FE5"/>
    <w:rsid w:val="00822786"/>
    <w:rsid w:val="008227A3"/>
    <w:rsid w:val="00824171"/>
    <w:rsid w:val="008277B4"/>
    <w:rsid w:val="00827A7D"/>
    <w:rsid w:val="00830047"/>
    <w:rsid w:val="00831504"/>
    <w:rsid w:val="00831B9E"/>
    <w:rsid w:val="0083234B"/>
    <w:rsid w:val="00833D3D"/>
    <w:rsid w:val="0083405F"/>
    <w:rsid w:val="00835E46"/>
    <w:rsid w:val="008405BD"/>
    <w:rsid w:val="00847046"/>
    <w:rsid w:val="008472AA"/>
    <w:rsid w:val="00847DA7"/>
    <w:rsid w:val="00850FB8"/>
    <w:rsid w:val="00853C29"/>
    <w:rsid w:val="008549A0"/>
    <w:rsid w:val="00856236"/>
    <w:rsid w:val="008679A3"/>
    <w:rsid w:val="0087159E"/>
    <w:rsid w:val="008725E0"/>
    <w:rsid w:val="0087312C"/>
    <w:rsid w:val="0088198A"/>
    <w:rsid w:val="00883702"/>
    <w:rsid w:val="00887F58"/>
    <w:rsid w:val="00894029"/>
    <w:rsid w:val="008942E7"/>
    <w:rsid w:val="00894ACC"/>
    <w:rsid w:val="008A05A4"/>
    <w:rsid w:val="008A0C4B"/>
    <w:rsid w:val="008A0DA0"/>
    <w:rsid w:val="008A325B"/>
    <w:rsid w:val="008A5769"/>
    <w:rsid w:val="008A7717"/>
    <w:rsid w:val="008B50CB"/>
    <w:rsid w:val="008B6387"/>
    <w:rsid w:val="008C42BA"/>
    <w:rsid w:val="008C590A"/>
    <w:rsid w:val="008D10A9"/>
    <w:rsid w:val="008D2216"/>
    <w:rsid w:val="008E43E7"/>
    <w:rsid w:val="008E7695"/>
    <w:rsid w:val="008E7DDF"/>
    <w:rsid w:val="008F54DF"/>
    <w:rsid w:val="008F5FCE"/>
    <w:rsid w:val="008F606F"/>
    <w:rsid w:val="00904607"/>
    <w:rsid w:val="00904AE6"/>
    <w:rsid w:val="009054A3"/>
    <w:rsid w:val="00910A91"/>
    <w:rsid w:val="009125C8"/>
    <w:rsid w:val="0091300D"/>
    <w:rsid w:val="009142C2"/>
    <w:rsid w:val="00916884"/>
    <w:rsid w:val="00916900"/>
    <w:rsid w:val="00917FA1"/>
    <w:rsid w:val="009212CC"/>
    <w:rsid w:val="00926835"/>
    <w:rsid w:val="00930FF8"/>
    <w:rsid w:val="009313CC"/>
    <w:rsid w:val="00934D8A"/>
    <w:rsid w:val="009375A8"/>
    <w:rsid w:val="00942DBD"/>
    <w:rsid w:val="009433EC"/>
    <w:rsid w:val="00946FF7"/>
    <w:rsid w:val="00947580"/>
    <w:rsid w:val="009475C7"/>
    <w:rsid w:val="00947E2B"/>
    <w:rsid w:val="009520E8"/>
    <w:rsid w:val="009551C1"/>
    <w:rsid w:val="00955641"/>
    <w:rsid w:val="009617DA"/>
    <w:rsid w:val="00962CEB"/>
    <w:rsid w:val="00963E6E"/>
    <w:rsid w:val="009651D0"/>
    <w:rsid w:val="0096755B"/>
    <w:rsid w:val="00972606"/>
    <w:rsid w:val="009728A4"/>
    <w:rsid w:val="009770C2"/>
    <w:rsid w:val="009774B6"/>
    <w:rsid w:val="00981C61"/>
    <w:rsid w:val="0098220E"/>
    <w:rsid w:val="00982369"/>
    <w:rsid w:val="009834BF"/>
    <w:rsid w:val="0098443F"/>
    <w:rsid w:val="00986D75"/>
    <w:rsid w:val="00990FBD"/>
    <w:rsid w:val="00996A18"/>
    <w:rsid w:val="009A038F"/>
    <w:rsid w:val="009A15C0"/>
    <w:rsid w:val="009A25BB"/>
    <w:rsid w:val="009A2A78"/>
    <w:rsid w:val="009A2E14"/>
    <w:rsid w:val="009A45A8"/>
    <w:rsid w:val="009A6D72"/>
    <w:rsid w:val="009B053A"/>
    <w:rsid w:val="009B3EB2"/>
    <w:rsid w:val="009B6734"/>
    <w:rsid w:val="009C53DD"/>
    <w:rsid w:val="009D00F4"/>
    <w:rsid w:val="009D08A1"/>
    <w:rsid w:val="009D0CE9"/>
    <w:rsid w:val="009D2D85"/>
    <w:rsid w:val="009D31D9"/>
    <w:rsid w:val="009D4129"/>
    <w:rsid w:val="009D439D"/>
    <w:rsid w:val="009D4C2B"/>
    <w:rsid w:val="009D516D"/>
    <w:rsid w:val="009E0AA7"/>
    <w:rsid w:val="009E1788"/>
    <w:rsid w:val="009E3DEC"/>
    <w:rsid w:val="009E55F8"/>
    <w:rsid w:val="009F2DFA"/>
    <w:rsid w:val="009F5C70"/>
    <w:rsid w:val="009F6828"/>
    <w:rsid w:val="009F7390"/>
    <w:rsid w:val="00A02EB0"/>
    <w:rsid w:val="00A03662"/>
    <w:rsid w:val="00A05C56"/>
    <w:rsid w:val="00A06A38"/>
    <w:rsid w:val="00A07406"/>
    <w:rsid w:val="00A130A2"/>
    <w:rsid w:val="00A135B4"/>
    <w:rsid w:val="00A16A33"/>
    <w:rsid w:val="00A170B7"/>
    <w:rsid w:val="00A17A7E"/>
    <w:rsid w:val="00A17A8B"/>
    <w:rsid w:val="00A20CC9"/>
    <w:rsid w:val="00A21AE9"/>
    <w:rsid w:val="00A220CB"/>
    <w:rsid w:val="00A27FCE"/>
    <w:rsid w:val="00A327A1"/>
    <w:rsid w:val="00A32E17"/>
    <w:rsid w:val="00A32FAB"/>
    <w:rsid w:val="00A34EBE"/>
    <w:rsid w:val="00A4315B"/>
    <w:rsid w:val="00A4486A"/>
    <w:rsid w:val="00A4515A"/>
    <w:rsid w:val="00A51DEA"/>
    <w:rsid w:val="00A53390"/>
    <w:rsid w:val="00A54B12"/>
    <w:rsid w:val="00A5604A"/>
    <w:rsid w:val="00A56532"/>
    <w:rsid w:val="00A614AA"/>
    <w:rsid w:val="00A6505D"/>
    <w:rsid w:val="00A66862"/>
    <w:rsid w:val="00A71161"/>
    <w:rsid w:val="00A723DA"/>
    <w:rsid w:val="00A7289C"/>
    <w:rsid w:val="00A7395C"/>
    <w:rsid w:val="00A74EEF"/>
    <w:rsid w:val="00A75E0A"/>
    <w:rsid w:val="00A75E47"/>
    <w:rsid w:val="00A76998"/>
    <w:rsid w:val="00A76FDA"/>
    <w:rsid w:val="00A77C06"/>
    <w:rsid w:val="00A77FC7"/>
    <w:rsid w:val="00A811E4"/>
    <w:rsid w:val="00A86B43"/>
    <w:rsid w:val="00A8711C"/>
    <w:rsid w:val="00A90400"/>
    <w:rsid w:val="00A95E5A"/>
    <w:rsid w:val="00A96249"/>
    <w:rsid w:val="00AA05EB"/>
    <w:rsid w:val="00AA698F"/>
    <w:rsid w:val="00AA74DD"/>
    <w:rsid w:val="00AA7A78"/>
    <w:rsid w:val="00AA7EB3"/>
    <w:rsid w:val="00AB05F4"/>
    <w:rsid w:val="00AB3CEC"/>
    <w:rsid w:val="00AB4524"/>
    <w:rsid w:val="00AB52D0"/>
    <w:rsid w:val="00AB5803"/>
    <w:rsid w:val="00AB5CDE"/>
    <w:rsid w:val="00AB7FF5"/>
    <w:rsid w:val="00AC128B"/>
    <w:rsid w:val="00AC156C"/>
    <w:rsid w:val="00AC21C3"/>
    <w:rsid w:val="00AC24F6"/>
    <w:rsid w:val="00AC5931"/>
    <w:rsid w:val="00AD1A0C"/>
    <w:rsid w:val="00AD4900"/>
    <w:rsid w:val="00AD65CD"/>
    <w:rsid w:val="00AD6FF0"/>
    <w:rsid w:val="00AE28A4"/>
    <w:rsid w:val="00AE3005"/>
    <w:rsid w:val="00AE79D6"/>
    <w:rsid w:val="00AF0E1A"/>
    <w:rsid w:val="00AF4976"/>
    <w:rsid w:val="00AF4F2C"/>
    <w:rsid w:val="00AF6551"/>
    <w:rsid w:val="00AF7E51"/>
    <w:rsid w:val="00B03F33"/>
    <w:rsid w:val="00B04B64"/>
    <w:rsid w:val="00B06974"/>
    <w:rsid w:val="00B06DCE"/>
    <w:rsid w:val="00B11F3F"/>
    <w:rsid w:val="00B13A4A"/>
    <w:rsid w:val="00B144A9"/>
    <w:rsid w:val="00B15BF7"/>
    <w:rsid w:val="00B15C3C"/>
    <w:rsid w:val="00B202D6"/>
    <w:rsid w:val="00B22375"/>
    <w:rsid w:val="00B2343B"/>
    <w:rsid w:val="00B27016"/>
    <w:rsid w:val="00B3237C"/>
    <w:rsid w:val="00B32E77"/>
    <w:rsid w:val="00B35092"/>
    <w:rsid w:val="00B366DC"/>
    <w:rsid w:val="00B42216"/>
    <w:rsid w:val="00B42E8C"/>
    <w:rsid w:val="00B4354E"/>
    <w:rsid w:val="00B44050"/>
    <w:rsid w:val="00B453CC"/>
    <w:rsid w:val="00B52060"/>
    <w:rsid w:val="00B55D27"/>
    <w:rsid w:val="00B564FA"/>
    <w:rsid w:val="00B56C18"/>
    <w:rsid w:val="00B60843"/>
    <w:rsid w:val="00B61A1D"/>
    <w:rsid w:val="00B62AD6"/>
    <w:rsid w:val="00B63222"/>
    <w:rsid w:val="00B638DF"/>
    <w:rsid w:val="00B65496"/>
    <w:rsid w:val="00B66FF4"/>
    <w:rsid w:val="00B70BA1"/>
    <w:rsid w:val="00B71631"/>
    <w:rsid w:val="00B758FC"/>
    <w:rsid w:val="00B77508"/>
    <w:rsid w:val="00B82DCF"/>
    <w:rsid w:val="00B83A90"/>
    <w:rsid w:val="00B83DA7"/>
    <w:rsid w:val="00B92416"/>
    <w:rsid w:val="00B965D5"/>
    <w:rsid w:val="00B967AE"/>
    <w:rsid w:val="00BA05E5"/>
    <w:rsid w:val="00BA54CD"/>
    <w:rsid w:val="00BA71C9"/>
    <w:rsid w:val="00BA781A"/>
    <w:rsid w:val="00BA7AC8"/>
    <w:rsid w:val="00BB7212"/>
    <w:rsid w:val="00BC00F1"/>
    <w:rsid w:val="00BC07F2"/>
    <w:rsid w:val="00BC085F"/>
    <w:rsid w:val="00BC1B80"/>
    <w:rsid w:val="00BC21DF"/>
    <w:rsid w:val="00BC5FB6"/>
    <w:rsid w:val="00BC64D3"/>
    <w:rsid w:val="00BC77E4"/>
    <w:rsid w:val="00BD15A7"/>
    <w:rsid w:val="00BD2844"/>
    <w:rsid w:val="00BD3CA4"/>
    <w:rsid w:val="00BE1BA6"/>
    <w:rsid w:val="00BE312A"/>
    <w:rsid w:val="00BE31F6"/>
    <w:rsid w:val="00BE642D"/>
    <w:rsid w:val="00BE6DFA"/>
    <w:rsid w:val="00BF0936"/>
    <w:rsid w:val="00BF0B73"/>
    <w:rsid w:val="00BF1B7C"/>
    <w:rsid w:val="00BF1C37"/>
    <w:rsid w:val="00BF4654"/>
    <w:rsid w:val="00BF4CA4"/>
    <w:rsid w:val="00BF63CA"/>
    <w:rsid w:val="00C007BF"/>
    <w:rsid w:val="00C0125C"/>
    <w:rsid w:val="00C024DF"/>
    <w:rsid w:val="00C10274"/>
    <w:rsid w:val="00C10FF9"/>
    <w:rsid w:val="00C11723"/>
    <w:rsid w:val="00C11778"/>
    <w:rsid w:val="00C12460"/>
    <w:rsid w:val="00C128F5"/>
    <w:rsid w:val="00C1643A"/>
    <w:rsid w:val="00C16C56"/>
    <w:rsid w:val="00C16D30"/>
    <w:rsid w:val="00C17083"/>
    <w:rsid w:val="00C2211C"/>
    <w:rsid w:val="00C24D13"/>
    <w:rsid w:val="00C2568C"/>
    <w:rsid w:val="00C26310"/>
    <w:rsid w:val="00C27BE6"/>
    <w:rsid w:val="00C3310E"/>
    <w:rsid w:val="00C332DC"/>
    <w:rsid w:val="00C35357"/>
    <w:rsid w:val="00C36E8B"/>
    <w:rsid w:val="00C373EA"/>
    <w:rsid w:val="00C4110C"/>
    <w:rsid w:val="00C44BF6"/>
    <w:rsid w:val="00C47076"/>
    <w:rsid w:val="00C52B4B"/>
    <w:rsid w:val="00C534CF"/>
    <w:rsid w:val="00C55B9A"/>
    <w:rsid w:val="00C57504"/>
    <w:rsid w:val="00C60A26"/>
    <w:rsid w:val="00C60C9B"/>
    <w:rsid w:val="00C61738"/>
    <w:rsid w:val="00C63FA2"/>
    <w:rsid w:val="00C65EF3"/>
    <w:rsid w:val="00C66955"/>
    <w:rsid w:val="00C7027E"/>
    <w:rsid w:val="00C70B17"/>
    <w:rsid w:val="00C712DD"/>
    <w:rsid w:val="00C733C9"/>
    <w:rsid w:val="00C76498"/>
    <w:rsid w:val="00C767A1"/>
    <w:rsid w:val="00C80BF3"/>
    <w:rsid w:val="00C8199D"/>
    <w:rsid w:val="00C81F40"/>
    <w:rsid w:val="00C81FB5"/>
    <w:rsid w:val="00C848FC"/>
    <w:rsid w:val="00C853CA"/>
    <w:rsid w:val="00C85755"/>
    <w:rsid w:val="00C86D35"/>
    <w:rsid w:val="00C918A8"/>
    <w:rsid w:val="00C92054"/>
    <w:rsid w:val="00C924AC"/>
    <w:rsid w:val="00C9402F"/>
    <w:rsid w:val="00C964F5"/>
    <w:rsid w:val="00C97373"/>
    <w:rsid w:val="00CA3136"/>
    <w:rsid w:val="00CA7954"/>
    <w:rsid w:val="00CA7B8B"/>
    <w:rsid w:val="00CB02EA"/>
    <w:rsid w:val="00CB095F"/>
    <w:rsid w:val="00CB22C9"/>
    <w:rsid w:val="00CB45F2"/>
    <w:rsid w:val="00CB505D"/>
    <w:rsid w:val="00CB774F"/>
    <w:rsid w:val="00CC6EB0"/>
    <w:rsid w:val="00CD0740"/>
    <w:rsid w:val="00CE1C85"/>
    <w:rsid w:val="00CE4C52"/>
    <w:rsid w:val="00CE4E9B"/>
    <w:rsid w:val="00CE5C93"/>
    <w:rsid w:val="00CF037E"/>
    <w:rsid w:val="00CF67CD"/>
    <w:rsid w:val="00D0288A"/>
    <w:rsid w:val="00D04235"/>
    <w:rsid w:val="00D04B6A"/>
    <w:rsid w:val="00D1086F"/>
    <w:rsid w:val="00D12894"/>
    <w:rsid w:val="00D12E22"/>
    <w:rsid w:val="00D14B2B"/>
    <w:rsid w:val="00D208FF"/>
    <w:rsid w:val="00D20BA7"/>
    <w:rsid w:val="00D223ED"/>
    <w:rsid w:val="00D231B9"/>
    <w:rsid w:val="00D251A7"/>
    <w:rsid w:val="00D26143"/>
    <w:rsid w:val="00D264AE"/>
    <w:rsid w:val="00D30318"/>
    <w:rsid w:val="00D30A73"/>
    <w:rsid w:val="00D313F4"/>
    <w:rsid w:val="00D319CA"/>
    <w:rsid w:val="00D32EB1"/>
    <w:rsid w:val="00D35487"/>
    <w:rsid w:val="00D42D70"/>
    <w:rsid w:val="00D4455D"/>
    <w:rsid w:val="00D446A8"/>
    <w:rsid w:val="00D47569"/>
    <w:rsid w:val="00D5278B"/>
    <w:rsid w:val="00D52945"/>
    <w:rsid w:val="00D53B35"/>
    <w:rsid w:val="00D5552C"/>
    <w:rsid w:val="00D56070"/>
    <w:rsid w:val="00D56186"/>
    <w:rsid w:val="00D60DE8"/>
    <w:rsid w:val="00D638D8"/>
    <w:rsid w:val="00D649D7"/>
    <w:rsid w:val="00D64AEF"/>
    <w:rsid w:val="00D70F90"/>
    <w:rsid w:val="00D71D7D"/>
    <w:rsid w:val="00D722ED"/>
    <w:rsid w:val="00D726A4"/>
    <w:rsid w:val="00D8225A"/>
    <w:rsid w:val="00D853BA"/>
    <w:rsid w:val="00D85816"/>
    <w:rsid w:val="00D92DF7"/>
    <w:rsid w:val="00D94526"/>
    <w:rsid w:val="00D9482B"/>
    <w:rsid w:val="00D956D4"/>
    <w:rsid w:val="00D95D19"/>
    <w:rsid w:val="00DA2267"/>
    <w:rsid w:val="00DA2DE4"/>
    <w:rsid w:val="00DA3A5C"/>
    <w:rsid w:val="00DA5457"/>
    <w:rsid w:val="00DA56C0"/>
    <w:rsid w:val="00DA764D"/>
    <w:rsid w:val="00DB2FE5"/>
    <w:rsid w:val="00DB426C"/>
    <w:rsid w:val="00DB4DBD"/>
    <w:rsid w:val="00DB5ECA"/>
    <w:rsid w:val="00DC005C"/>
    <w:rsid w:val="00DC48EB"/>
    <w:rsid w:val="00DC6B66"/>
    <w:rsid w:val="00DC6CCD"/>
    <w:rsid w:val="00DD0EC3"/>
    <w:rsid w:val="00DD13F8"/>
    <w:rsid w:val="00DD7870"/>
    <w:rsid w:val="00DE0847"/>
    <w:rsid w:val="00DE24C2"/>
    <w:rsid w:val="00DE3512"/>
    <w:rsid w:val="00DE5A16"/>
    <w:rsid w:val="00DE60E3"/>
    <w:rsid w:val="00DE62E5"/>
    <w:rsid w:val="00DE6FF0"/>
    <w:rsid w:val="00DF1497"/>
    <w:rsid w:val="00DF2629"/>
    <w:rsid w:val="00DF2654"/>
    <w:rsid w:val="00DF3D0F"/>
    <w:rsid w:val="00E00044"/>
    <w:rsid w:val="00E0216C"/>
    <w:rsid w:val="00E021AE"/>
    <w:rsid w:val="00E022E5"/>
    <w:rsid w:val="00E025F1"/>
    <w:rsid w:val="00E03A32"/>
    <w:rsid w:val="00E04E11"/>
    <w:rsid w:val="00E052FF"/>
    <w:rsid w:val="00E0533A"/>
    <w:rsid w:val="00E1374B"/>
    <w:rsid w:val="00E14975"/>
    <w:rsid w:val="00E1727A"/>
    <w:rsid w:val="00E173D6"/>
    <w:rsid w:val="00E2321C"/>
    <w:rsid w:val="00E236B4"/>
    <w:rsid w:val="00E23CBC"/>
    <w:rsid w:val="00E2597E"/>
    <w:rsid w:val="00E2792F"/>
    <w:rsid w:val="00E34887"/>
    <w:rsid w:val="00E357AE"/>
    <w:rsid w:val="00E35ED9"/>
    <w:rsid w:val="00E413E7"/>
    <w:rsid w:val="00E45571"/>
    <w:rsid w:val="00E45AAE"/>
    <w:rsid w:val="00E4677E"/>
    <w:rsid w:val="00E50BFE"/>
    <w:rsid w:val="00E50E09"/>
    <w:rsid w:val="00E53BCE"/>
    <w:rsid w:val="00E54FD8"/>
    <w:rsid w:val="00E550B5"/>
    <w:rsid w:val="00E57A85"/>
    <w:rsid w:val="00E60277"/>
    <w:rsid w:val="00E6413C"/>
    <w:rsid w:val="00E64F83"/>
    <w:rsid w:val="00E714C4"/>
    <w:rsid w:val="00E7312C"/>
    <w:rsid w:val="00E7351C"/>
    <w:rsid w:val="00E73DC4"/>
    <w:rsid w:val="00E73DF8"/>
    <w:rsid w:val="00E74D77"/>
    <w:rsid w:val="00E7572F"/>
    <w:rsid w:val="00E765CE"/>
    <w:rsid w:val="00E765EA"/>
    <w:rsid w:val="00E81B0E"/>
    <w:rsid w:val="00E940FA"/>
    <w:rsid w:val="00E943AA"/>
    <w:rsid w:val="00E975BE"/>
    <w:rsid w:val="00E97C3B"/>
    <w:rsid w:val="00EA38B8"/>
    <w:rsid w:val="00EA492B"/>
    <w:rsid w:val="00EA49AC"/>
    <w:rsid w:val="00EA4A62"/>
    <w:rsid w:val="00EA558E"/>
    <w:rsid w:val="00EB18F8"/>
    <w:rsid w:val="00EB285F"/>
    <w:rsid w:val="00EB3B97"/>
    <w:rsid w:val="00EB4C98"/>
    <w:rsid w:val="00EB63C2"/>
    <w:rsid w:val="00EC0946"/>
    <w:rsid w:val="00EC514F"/>
    <w:rsid w:val="00EC5E61"/>
    <w:rsid w:val="00ED3417"/>
    <w:rsid w:val="00ED38C1"/>
    <w:rsid w:val="00ED3FA3"/>
    <w:rsid w:val="00ED4A6E"/>
    <w:rsid w:val="00ED4A8C"/>
    <w:rsid w:val="00ED6B69"/>
    <w:rsid w:val="00ED6C6D"/>
    <w:rsid w:val="00EE4781"/>
    <w:rsid w:val="00EE77FE"/>
    <w:rsid w:val="00EF3171"/>
    <w:rsid w:val="00EF52CE"/>
    <w:rsid w:val="00EF52FD"/>
    <w:rsid w:val="00EF542D"/>
    <w:rsid w:val="00EF6812"/>
    <w:rsid w:val="00EF774F"/>
    <w:rsid w:val="00F00495"/>
    <w:rsid w:val="00F01B04"/>
    <w:rsid w:val="00F03AF2"/>
    <w:rsid w:val="00F162B8"/>
    <w:rsid w:val="00F16D4F"/>
    <w:rsid w:val="00F204C8"/>
    <w:rsid w:val="00F2091A"/>
    <w:rsid w:val="00F231E9"/>
    <w:rsid w:val="00F253EB"/>
    <w:rsid w:val="00F25E64"/>
    <w:rsid w:val="00F26AC6"/>
    <w:rsid w:val="00F3031D"/>
    <w:rsid w:val="00F34C37"/>
    <w:rsid w:val="00F40123"/>
    <w:rsid w:val="00F40DCF"/>
    <w:rsid w:val="00F41B09"/>
    <w:rsid w:val="00F523C7"/>
    <w:rsid w:val="00F52EF6"/>
    <w:rsid w:val="00F5523B"/>
    <w:rsid w:val="00F55A7D"/>
    <w:rsid w:val="00F56BF0"/>
    <w:rsid w:val="00F56FC2"/>
    <w:rsid w:val="00F57255"/>
    <w:rsid w:val="00F57886"/>
    <w:rsid w:val="00F6070A"/>
    <w:rsid w:val="00F620C6"/>
    <w:rsid w:val="00F66F39"/>
    <w:rsid w:val="00F67297"/>
    <w:rsid w:val="00F67B1A"/>
    <w:rsid w:val="00F70E94"/>
    <w:rsid w:val="00F7255F"/>
    <w:rsid w:val="00F728BE"/>
    <w:rsid w:val="00F77100"/>
    <w:rsid w:val="00F801C8"/>
    <w:rsid w:val="00F817A8"/>
    <w:rsid w:val="00F8180F"/>
    <w:rsid w:val="00F82C68"/>
    <w:rsid w:val="00F83379"/>
    <w:rsid w:val="00F8604A"/>
    <w:rsid w:val="00F8697A"/>
    <w:rsid w:val="00F91328"/>
    <w:rsid w:val="00F93C7D"/>
    <w:rsid w:val="00F97586"/>
    <w:rsid w:val="00FA06A7"/>
    <w:rsid w:val="00FA1A73"/>
    <w:rsid w:val="00FA2678"/>
    <w:rsid w:val="00FA2933"/>
    <w:rsid w:val="00FA2B97"/>
    <w:rsid w:val="00FA3934"/>
    <w:rsid w:val="00FB248D"/>
    <w:rsid w:val="00FB6686"/>
    <w:rsid w:val="00FD0EF8"/>
    <w:rsid w:val="00FD1936"/>
    <w:rsid w:val="00FD1A18"/>
    <w:rsid w:val="00FD3173"/>
    <w:rsid w:val="00FD4ACD"/>
    <w:rsid w:val="00FD5463"/>
    <w:rsid w:val="00FD73B3"/>
    <w:rsid w:val="00FE1450"/>
    <w:rsid w:val="00FE4315"/>
    <w:rsid w:val="00FE5119"/>
    <w:rsid w:val="00FE6BDE"/>
    <w:rsid w:val="00FF00A3"/>
    <w:rsid w:val="00FF2B10"/>
    <w:rsid w:val="00FF346C"/>
    <w:rsid w:val="00FF4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7255</Characters>
  <Application>Microsoft Office Word</Application>
  <DocSecurity>0</DocSecurity>
  <Lines>290</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2</cp:revision>
  <cp:lastPrinted>2022-08-03T04:58:00Z</cp:lastPrinted>
  <dcterms:created xsi:type="dcterms:W3CDTF">2026-01-24T12:09:00Z</dcterms:created>
  <dcterms:modified xsi:type="dcterms:W3CDTF">2026-01-24T12:09:00Z</dcterms:modified>
</cp:coreProperties>
</file>